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8D622" w14:textId="77777777" w:rsidR="003F408F" w:rsidRDefault="003F408F" w:rsidP="003F408F">
      <w:pPr>
        <w:spacing w:after="120"/>
        <w:ind w:right="-1"/>
        <w:rPr>
          <w:rFonts w:ascii="Calibri" w:hAnsi="Calibri"/>
          <w:sz w:val="28"/>
        </w:rPr>
      </w:pPr>
      <w:proofErr w:type="spellStart"/>
      <w:r>
        <w:rPr>
          <w:rStyle w:val="Rubrik2Char"/>
          <w:sz w:val="28"/>
          <w:lang w:val="en-US" w:eastAsia="en-US" w:bidi="en-US"/>
        </w:rPr>
        <w:t>Verksamhet</w:t>
      </w:r>
      <w:proofErr w:type="spellEnd"/>
    </w:p>
    <w:p w14:paraId="7E9B98E2" w14:textId="298D7FBF" w:rsidR="003F408F" w:rsidRDefault="003F408F" w:rsidP="003F408F">
      <w:pPr>
        <w:ind w:right="-1"/>
      </w:pPr>
      <w:r>
        <w:t>Vägbank</w:t>
      </w:r>
    </w:p>
    <w:p w14:paraId="324521B2" w14:textId="04545F70" w:rsidR="003F408F" w:rsidRDefault="003F408F" w:rsidP="003F408F">
      <w:pPr>
        <w:ind w:right="-1"/>
      </w:pPr>
      <w:r>
        <w:t>Torsholma</w:t>
      </w:r>
    </w:p>
    <w:p w14:paraId="212A6C6D" w14:textId="77777777" w:rsidR="003F408F" w:rsidRDefault="003F408F" w:rsidP="003F408F">
      <w:pPr>
        <w:ind w:right="-1"/>
      </w:pPr>
      <w:r>
        <w:t>Brändö</w:t>
      </w:r>
    </w:p>
    <w:p w14:paraId="738E655D" w14:textId="77777777" w:rsidR="003F408F" w:rsidRDefault="003F408F" w:rsidP="003F408F">
      <w:pPr>
        <w:pStyle w:val="Rubrik2"/>
        <w:ind w:right="-1"/>
        <w:rPr>
          <w:sz w:val="28"/>
        </w:rPr>
      </w:pPr>
      <w:r>
        <w:rPr>
          <w:sz w:val="28"/>
          <w:lang w:val="sv-FI" w:eastAsia="sv-FI" w:bidi="sv-FI"/>
        </w:rPr>
        <w:t>Ärende</w:t>
      </w:r>
    </w:p>
    <w:p w14:paraId="38D3A3D6" w14:textId="74CAC448" w:rsidR="003F408F" w:rsidRDefault="003F408F" w:rsidP="003F408F">
      <w:pPr>
        <w:spacing w:line="288" w:lineRule="auto"/>
        <w:ind w:right="164"/>
      </w:pPr>
      <w:bookmarkStart w:id="0" w:name="_Hlk63330510"/>
      <w:r>
        <w:t xml:space="preserve">Ansökan avser miljötillstånd för </w:t>
      </w:r>
      <w:bookmarkStart w:id="1" w:name="_Hlk63339823"/>
      <w:bookmarkStart w:id="2" w:name="_Hlk62643545"/>
      <w:r>
        <w:t xml:space="preserve">anläggande av tryckbankar och utbyte av </w:t>
      </w:r>
      <w:r w:rsidR="0065138B">
        <w:t>bank</w:t>
      </w:r>
      <w:r>
        <w:t xml:space="preserve">material </w:t>
      </w:r>
      <w:r w:rsidR="0065138B">
        <w:t xml:space="preserve">till lättviktsmaterial </w:t>
      </w:r>
      <w:r>
        <w:t xml:space="preserve">i vägbank </w:t>
      </w:r>
      <w:r w:rsidR="00367E4D">
        <w:t xml:space="preserve">i anslutning till bron i vägbanken mellan </w:t>
      </w:r>
      <w:r>
        <w:t>Torsholma</w:t>
      </w:r>
      <w:r w:rsidR="00367E4D">
        <w:t xml:space="preserve"> och Lilla </w:t>
      </w:r>
      <w:proofErr w:type="spellStart"/>
      <w:r w:rsidR="00367E4D">
        <w:t>Hummelholm</w:t>
      </w:r>
      <w:proofErr w:type="spellEnd"/>
      <w:r>
        <w:t>, Brändö</w:t>
      </w:r>
      <w:bookmarkEnd w:id="1"/>
      <w:r>
        <w:t>.</w:t>
      </w:r>
      <w:bookmarkEnd w:id="2"/>
      <w:r w:rsidRPr="00EE443C">
        <w:t xml:space="preserve"> </w:t>
      </w:r>
    </w:p>
    <w:bookmarkEnd w:id="0"/>
    <w:p w14:paraId="2A4116BF" w14:textId="77777777" w:rsidR="003F408F" w:rsidRDefault="003F408F" w:rsidP="003F408F">
      <w:pPr>
        <w:spacing w:before="120" w:line="288" w:lineRule="auto"/>
        <w:ind w:right="526"/>
      </w:pPr>
      <w:r>
        <w:t>Tillståndsplikt föreligger enligt 10 § landskapslag (2008:124) om miljöskydd, nedan miljöskyddslagen, 15 § a och f punkterna v</w:t>
      </w:r>
      <w:r w:rsidRPr="007206A0">
        <w:t>attenlag (1996:61) för landskapet Åland</w:t>
      </w:r>
      <w:r>
        <w:t>, nedan vattenlagen.</w:t>
      </w:r>
    </w:p>
    <w:p w14:paraId="1E12543D" w14:textId="77777777" w:rsidR="003F408F" w:rsidRDefault="003F408F" w:rsidP="003F408F">
      <w:pPr>
        <w:pStyle w:val="Rubrik2"/>
        <w:ind w:right="-1"/>
        <w:rPr>
          <w:sz w:val="28"/>
        </w:rPr>
      </w:pPr>
      <w:r>
        <w:rPr>
          <w:sz w:val="28"/>
        </w:rPr>
        <w:t>Beslut</w:t>
      </w:r>
    </w:p>
    <w:p w14:paraId="40365A23" w14:textId="77777777" w:rsidR="003F408F" w:rsidRDefault="003F408F" w:rsidP="003F408F">
      <w:pPr>
        <w:pStyle w:val="Rubrik2"/>
        <w:ind w:right="-1"/>
        <w:rPr>
          <w:lang w:val="sv-FI" w:eastAsia="sv-FI" w:bidi="sv-FI"/>
        </w:rPr>
      </w:pPr>
      <w:r>
        <w:rPr>
          <w:lang w:val="sv-FI" w:eastAsia="sv-FI" w:bidi="sv-FI"/>
        </w:rPr>
        <w:t>Miljötillstånd</w:t>
      </w:r>
    </w:p>
    <w:p w14:paraId="002CD07A" w14:textId="086BB8F5" w:rsidR="003F408F" w:rsidRDefault="003F408F" w:rsidP="003F408F">
      <w:pPr>
        <w:spacing w:line="288" w:lineRule="auto"/>
      </w:pPr>
      <w:r>
        <w:t xml:space="preserve">ÅMHM beviljar tillstånd för </w:t>
      </w:r>
      <w:r w:rsidR="0065138B">
        <w:t xml:space="preserve">anläggande av tryckbankar </w:t>
      </w:r>
      <w:r w:rsidR="00E760E0">
        <w:t>om ca 1750 m</w:t>
      </w:r>
      <w:r w:rsidR="00E760E0" w:rsidRPr="00E760E0">
        <w:rPr>
          <w:vertAlign w:val="superscript"/>
        </w:rPr>
        <w:t>2</w:t>
      </w:r>
      <w:r w:rsidR="00E760E0">
        <w:t xml:space="preserve"> </w:t>
      </w:r>
      <w:r w:rsidR="0065138B">
        <w:t xml:space="preserve">och utbyte av material i vägbank vid Torsholma, </w:t>
      </w:r>
      <w:r>
        <w:t>i Brändö kommun.</w:t>
      </w:r>
    </w:p>
    <w:p w14:paraId="5246910A" w14:textId="77777777" w:rsidR="003F408F" w:rsidRDefault="003F408F" w:rsidP="003F408F">
      <w:pPr>
        <w:spacing w:before="120" w:line="288" w:lineRule="auto"/>
      </w:pPr>
      <w:r>
        <w:t>Miljötillstånd beviljas med stöd av 17 § 1 mom. landskapslagen (2008:124) om miljöskydd, nedan miljöskyddslagen.</w:t>
      </w:r>
    </w:p>
    <w:p w14:paraId="783719BA" w14:textId="77777777" w:rsidR="003F408F" w:rsidRDefault="003F408F" w:rsidP="003F408F">
      <w:pPr>
        <w:pStyle w:val="Rubrik2"/>
        <w:ind w:right="-1"/>
        <w:rPr>
          <w:lang w:val="sv-FI" w:eastAsia="sv-FI" w:bidi="sv-FI"/>
        </w:rPr>
      </w:pPr>
      <w:r>
        <w:rPr>
          <w:lang w:val="sv-FI" w:eastAsia="sv-FI" w:bidi="sv-FI"/>
        </w:rPr>
        <w:t>Giltighet</w:t>
      </w:r>
    </w:p>
    <w:p w14:paraId="74E2EEC7" w14:textId="77777777" w:rsidR="003F408F" w:rsidRDefault="003F408F" w:rsidP="003F408F">
      <w:pPr>
        <w:pStyle w:val="Rubrik2"/>
        <w:spacing w:before="240"/>
        <w:rPr>
          <w:b w:val="0"/>
        </w:rPr>
      </w:pPr>
      <w:r w:rsidRPr="006D4B97">
        <w:rPr>
          <w:b w:val="0"/>
        </w:rPr>
        <w:t xml:space="preserve">Vattenarbetet ska vara utfört senast 5 år efter att detta beslut vunnit laga kraft. </w:t>
      </w:r>
    </w:p>
    <w:p w14:paraId="40EF2C06" w14:textId="77777777" w:rsidR="003F408F" w:rsidRDefault="003F408F" w:rsidP="003F408F">
      <w:pPr>
        <w:pStyle w:val="Rubrik2"/>
        <w:ind w:right="-1"/>
      </w:pPr>
      <w:r>
        <w:rPr>
          <w:lang w:val="sv-FI" w:eastAsia="sv-FI" w:bidi="sv-FI"/>
        </w:rPr>
        <w:t>Ersättning</w:t>
      </w:r>
    </w:p>
    <w:p w14:paraId="3278B307" w14:textId="77777777" w:rsidR="003F408F" w:rsidRDefault="003F408F" w:rsidP="003F408F">
      <w:pPr>
        <w:spacing w:line="288" w:lineRule="auto"/>
        <w:ind w:right="317"/>
      </w:pPr>
      <w:r>
        <w:t>ÅMHM har prövat frågan om ersättning enligt 7 kap. 8 § vattenlagen (1996:61) för landskapet Åland. Myndigheten konstaterar att nedanstående tillståndsvillkor och föreskrifter utgör sådant skydd att verksamheten inte kommer att orsaka sådan skada som ligger till grund för ersättning enligt 7 kap. 4 och 6 §§ i vattenlagen.</w:t>
      </w:r>
    </w:p>
    <w:p w14:paraId="5B78ED02" w14:textId="77777777" w:rsidR="003F408F" w:rsidRDefault="003F408F" w:rsidP="003F408F">
      <w:pPr>
        <w:spacing w:after="200"/>
        <w:rPr>
          <w:b/>
          <w:lang w:val="sv-FI" w:eastAsia="sv-FI" w:bidi="sv-FI"/>
        </w:rPr>
      </w:pPr>
      <w:r>
        <w:rPr>
          <w:lang w:val="sv-FI" w:eastAsia="sv-FI" w:bidi="sv-FI"/>
        </w:rPr>
        <w:br w:type="page"/>
      </w:r>
    </w:p>
    <w:p w14:paraId="49293AEB" w14:textId="77777777" w:rsidR="003F408F" w:rsidRDefault="003F408F" w:rsidP="003F408F">
      <w:pPr>
        <w:pStyle w:val="Rubrik2"/>
        <w:ind w:right="-1"/>
      </w:pPr>
      <w:r>
        <w:rPr>
          <w:lang w:val="sv-FI" w:eastAsia="sv-FI" w:bidi="sv-FI"/>
        </w:rPr>
        <w:lastRenderedPageBreak/>
        <w:t>Miljökonsekvensbedömning</w:t>
      </w:r>
    </w:p>
    <w:p w14:paraId="4DC6375E" w14:textId="77777777" w:rsidR="003F408F" w:rsidRDefault="003F408F" w:rsidP="003F408F">
      <w:pPr>
        <w:pStyle w:val="Rubrik30"/>
        <w:widowControl w:val="0"/>
        <w:spacing w:before="120" w:line="288" w:lineRule="auto"/>
        <w:ind w:right="718"/>
        <w:rPr>
          <w:u w:val="none"/>
        </w:rPr>
      </w:pPr>
      <w:r w:rsidRPr="009F48FC">
        <w:rPr>
          <w:u w:val="none"/>
        </w:rPr>
        <w:t>ÅMHM har övervägt behovet av miljökonsekvensbedömning, MKB, i enlighet med 2 och 3 §§ landskapsförordning (2018:33) om miljökonsekvensbedömning och miljöbedömning. Till underlag för detta beslut krävs inte en MKB.</w:t>
      </w:r>
    </w:p>
    <w:p w14:paraId="4846DD80" w14:textId="77777777" w:rsidR="003F408F" w:rsidRDefault="003F408F" w:rsidP="003F408F">
      <w:pPr>
        <w:pStyle w:val="Rubrik2"/>
        <w:ind w:right="-1"/>
      </w:pPr>
      <w:r>
        <w:rPr>
          <w:lang w:val="sv-FI" w:eastAsia="sv-FI" w:bidi="sv-FI"/>
        </w:rPr>
        <w:t>Villkor och föreskrifter</w:t>
      </w:r>
    </w:p>
    <w:p w14:paraId="61AC54DC" w14:textId="77777777" w:rsidR="003F408F" w:rsidRDefault="003F408F" w:rsidP="003F408F">
      <w:pPr>
        <w:spacing w:before="120" w:line="288" w:lineRule="auto"/>
        <w:ind w:right="718"/>
      </w:pPr>
      <w:r>
        <w:t>Tillståndshavaren ska följa nedanstående villkor och föreskrifter utfärdade med stöd av 24 och 26 §§ miljöskyddslagen:</w:t>
      </w:r>
    </w:p>
    <w:p w14:paraId="2B406233" w14:textId="77777777" w:rsidR="003F408F" w:rsidRDefault="003F408F" w:rsidP="003F408F">
      <w:pPr>
        <w:spacing w:before="240" w:line="288" w:lineRule="auto"/>
        <w:ind w:right="718"/>
        <w:rPr>
          <w:b/>
          <w:i/>
          <w:lang w:val="sv-FI" w:eastAsia="sv-FI" w:bidi="sv-FI"/>
        </w:rPr>
      </w:pPr>
      <w:r>
        <w:rPr>
          <w:b/>
          <w:i/>
          <w:lang w:val="sv-FI" w:eastAsia="sv-FI" w:bidi="sv-FI"/>
        </w:rPr>
        <w:t>Allmänt</w:t>
      </w:r>
    </w:p>
    <w:p w14:paraId="6004160B" w14:textId="77777777" w:rsidR="003F408F" w:rsidRDefault="003F408F" w:rsidP="003F408F">
      <w:pPr>
        <w:numPr>
          <w:ilvl w:val="1"/>
          <w:numId w:val="2"/>
        </w:numPr>
        <w:tabs>
          <w:tab w:val="left" w:pos="397"/>
          <w:tab w:val="left" w:pos="540"/>
        </w:tabs>
        <w:spacing w:before="240" w:line="288" w:lineRule="auto"/>
        <w:ind w:right="718"/>
        <w:rPr>
          <w:lang w:val="sv-FI" w:eastAsia="sv-FI" w:bidi="sv-FI"/>
        </w:rPr>
      </w:pPr>
      <w:r w:rsidRPr="006D4B97">
        <w:rPr>
          <w:lang w:val="sv-FI" w:eastAsia="sv-FI" w:bidi="sv-FI"/>
        </w:rPr>
        <w:t xml:space="preserve">Arbetet ska utföras så att vattenområdena och angränsande landområden utsätts för störningar i så liten utsträckning som möjligt. Tillståndshavaren är ansvarig för eventuella skador på egendom och andra men som förorsakas av vattenföretaget.  </w:t>
      </w:r>
    </w:p>
    <w:p w14:paraId="17CE83D5" w14:textId="77777777" w:rsidR="003F408F" w:rsidRPr="006D4B97" w:rsidRDefault="003F408F" w:rsidP="003F408F">
      <w:pPr>
        <w:spacing w:line="288" w:lineRule="auto"/>
        <w:ind w:left="-284" w:right="358" w:firstLine="681"/>
        <w:rPr>
          <w:sz w:val="18"/>
        </w:rPr>
      </w:pPr>
      <w:r w:rsidRPr="006D4B97">
        <w:rPr>
          <w:sz w:val="18"/>
        </w:rPr>
        <w:t xml:space="preserve">4 kap. 1 och 4 §§ vattenlagen </w:t>
      </w:r>
    </w:p>
    <w:p w14:paraId="68A44211" w14:textId="1CE4A474" w:rsidR="003F408F" w:rsidRDefault="003F408F" w:rsidP="003F408F">
      <w:pPr>
        <w:numPr>
          <w:ilvl w:val="1"/>
          <w:numId w:val="2"/>
        </w:numPr>
        <w:tabs>
          <w:tab w:val="left" w:pos="397"/>
          <w:tab w:val="left" w:pos="540"/>
        </w:tabs>
        <w:spacing w:before="240" w:line="288" w:lineRule="auto"/>
        <w:ind w:right="718"/>
        <w:rPr>
          <w:lang w:val="sv-FI" w:eastAsia="sv-FI" w:bidi="sv-FI"/>
        </w:rPr>
      </w:pPr>
      <w:r w:rsidRPr="006D4B97">
        <w:rPr>
          <w:lang w:val="sv-FI" w:eastAsia="sv-FI" w:bidi="sv-FI"/>
        </w:rPr>
        <w:t>Muddrings</w:t>
      </w:r>
      <w:r w:rsidR="00A861BE">
        <w:rPr>
          <w:lang w:val="sv-FI" w:eastAsia="sv-FI" w:bidi="sv-FI"/>
        </w:rPr>
        <w:t>- och utfyllnads</w:t>
      </w:r>
      <w:r w:rsidRPr="006D4B97">
        <w:rPr>
          <w:lang w:val="sv-FI" w:eastAsia="sv-FI" w:bidi="sv-FI"/>
        </w:rPr>
        <w:t xml:space="preserve">arbeten får utföras under perioden </w:t>
      </w:r>
      <w:r>
        <w:rPr>
          <w:lang w:val="sv-FI" w:eastAsia="sv-FI" w:bidi="sv-FI"/>
        </w:rPr>
        <w:br/>
      </w:r>
      <w:r w:rsidRPr="006D4B97">
        <w:rPr>
          <w:lang w:val="sv-FI" w:eastAsia="sv-FI" w:bidi="sv-FI"/>
        </w:rPr>
        <w:t xml:space="preserve">1 september till och med 14 april.   </w:t>
      </w:r>
    </w:p>
    <w:p w14:paraId="00876F28" w14:textId="77777777" w:rsidR="003F408F" w:rsidRPr="009F48FC" w:rsidRDefault="003F408F" w:rsidP="003F408F">
      <w:pPr>
        <w:spacing w:line="288" w:lineRule="auto"/>
        <w:ind w:left="-284" w:right="358" w:firstLine="681"/>
        <w:rPr>
          <w:sz w:val="18"/>
        </w:rPr>
      </w:pPr>
      <w:r w:rsidRPr="009F48FC">
        <w:rPr>
          <w:sz w:val="18"/>
        </w:rPr>
        <w:t xml:space="preserve">4 § miljöskyddslagen, 4 kap. 1 och 4 §§ vattenlagen  </w:t>
      </w:r>
    </w:p>
    <w:p w14:paraId="44F40221" w14:textId="6CAD33B9" w:rsidR="00A861BE" w:rsidRDefault="00A861BE" w:rsidP="003F408F">
      <w:pPr>
        <w:numPr>
          <w:ilvl w:val="1"/>
          <w:numId w:val="2"/>
        </w:numPr>
        <w:tabs>
          <w:tab w:val="left" w:pos="397"/>
          <w:tab w:val="left" w:pos="540"/>
        </w:tabs>
        <w:spacing w:before="240" w:line="288" w:lineRule="auto"/>
        <w:ind w:right="718"/>
        <w:rPr>
          <w:lang w:val="sv-FI" w:eastAsia="sv-FI" w:bidi="sv-FI"/>
        </w:rPr>
      </w:pPr>
      <w:r>
        <w:rPr>
          <w:lang w:val="sv-FI" w:eastAsia="sv-FI" w:bidi="sv-FI"/>
        </w:rPr>
        <w:t xml:space="preserve">Vid anläggning av tryckbankar ska en </w:t>
      </w:r>
      <w:proofErr w:type="spellStart"/>
      <w:r>
        <w:rPr>
          <w:lang w:val="sv-FI" w:eastAsia="sv-FI" w:bidi="sv-FI"/>
        </w:rPr>
        <w:t>geoduk</w:t>
      </w:r>
      <w:proofErr w:type="spellEnd"/>
      <w:r>
        <w:rPr>
          <w:lang w:val="sv-FI" w:eastAsia="sv-FI" w:bidi="sv-FI"/>
        </w:rPr>
        <w:t xml:space="preserve">, </w:t>
      </w:r>
      <w:r w:rsidRPr="00A861BE">
        <w:rPr>
          <w:lang w:val="sv-FI" w:eastAsia="sv-FI" w:bidi="sv-FI"/>
        </w:rPr>
        <w:t xml:space="preserve">klass </w:t>
      </w:r>
      <w:r>
        <w:rPr>
          <w:lang w:val="sv-FI" w:eastAsia="sv-FI" w:bidi="sv-FI"/>
        </w:rPr>
        <w:t>4, anläggas på bottnen innan utfyllnad påbörjas.</w:t>
      </w:r>
      <w:r w:rsidR="00E760E0">
        <w:rPr>
          <w:lang w:val="sv-FI" w:eastAsia="sv-FI" w:bidi="sv-FI"/>
        </w:rPr>
        <w:t xml:space="preserve"> Anläggning ska ske med ”rena massor” av bergmaterial och -kross.</w:t>
      </w:r>
    </w:p>
    <w:p w14:paraId="165D67C6" w14:textId="24E13C94" w:rsidR="00A861BE" w:rsidRDefault="00A861BE" w:rsidP="00A861BE">
      <w:pPr>
        <w:spacing w:line="288" w:lineRule="auto"/>
        <w:ind w:left="-284" w:right="358" w:firstLine="681"/>
        <w:rPr>
          <w:lang w:val="sv-FI" w:eastAsia="sv-FI" w:bidi="sv-FI"/>
        </w:rPr>
      </w:pPr>
      <w:r w:rsidRPr="006D4B97">
        <w:rPr>
          <w:sz w:val="18"/>
        </w:rPr>
        <w:t>4 kap. 1 och 4 §§ vattenlagen</w:t>
      </w:r>
    </w:p>
    <w:p w14:paraId="66BFF100" w14:textId="0A85AABE" w:rsidR="003F408F" w:rsidRDefault="003F408F" w:rsidP="003F408F">
      <w:pPr>
        <w:numPr>
          <w:ilvl w:val="1"/>
          <w:numId w:val="2"/>
        </w:numPr>
        <w:tabs>
          <w:tab w:val="left" w:pos="397"/>
          <w:tab w:val="left" w:pos="540"/>
        </w:tabs>
        <w:spacing w:before="240" w:line="288" w:lineRule="auto"/>
        <w:ind w:right="718"/>
        <w:rPr>
          <w:lang w:val="sv-FI" w:eastAsia="sv-FI" w:bidi="sv-FI"/>
        </w:rPr>
      </w:pPr>
      <w:r w:rsidRPr="006D4B97">
        <w:rPr>
          <w:lang w:val="sv-FI" w:eastAsia="sv-FI" w:bidi="sv-FI"/>
        </w:rPr>
        <w:t xml:space="preserve">Buller från vattenföretaget får inte ge upphov till högre ekvivalent ljudnivå utomhus vid permanent- eller fritidsbostad, samlingslokal, vårdinrättning eller liknande verksamhet än följande frifältsvärden:   </w:t>
      </w:r>
    </w:p>
    <w:p w14:paraId="6C8D71ED" w14:textId="77777777" w:rsidR="003F408F" w:rsidRDefault="003F408F" w:rsidP="003F408F">
      <w:pPr>
        <w:tabs>
          <w:tab w:val="left" w:pos="397"/>
          <w:tab w:val="left" w:pos="540"/>
        </w:tabs>
        <w:spacing w:before="120" w:line="288" w:lineRule="auto"/>
        <w:ind w:left="397" w:right="720"/>
        <w:rPr>
          <w:lang w:val="sv-FI" w:eastAsia="sv-FI" w:bidi="sv-FI"/>
        </w:rPr>
      </w:pPr>
      <w:r w:rsidRPr="006D4B97">
        <w:rPr>
          <w:lang w:val="sv-FI" w:eastAsia="sv-FI" w:bidi="sv-FI"/>
        </w:rPr>
        <w:t xml:space="preserve">- 60 dB L </w:t>
      </w:r>
      <w:proofErr w:type="spellStart"/>
      <w:r w:rsidRPr="006D4B97">
        <w:rPr>
          <w:lang w:val="sv-FI" w:eastAsia="sv-FI" w:bidi="sv-FI"/>
        </w:rPr>
        <w:t>Aeq</w:t>
      </w:r>
      <w:proofErr w:type="spellEnd"/>
      <w:r w:rsidRPr="006D4B97">
        <w:rPr>
          <w:lang w:val="sv-FI" w:eastAsia="sv-FI" w:bidi="sv-FI"/>
        </w:rPr>
        <w:t xml:space="preserve"> dagtid (kl. 07-19) helgfri måndag till fredag   </w:t>
      </w:r>
    </w:p>
    <w:p w14:paraId="0958901B" w14:textId="77777777" w:rsidR="003F408F" w:rsidRDefault="003F408F" w:rsidP="003F408F">
      <w:pPr>
        <w:tabs>
          <w:tab w:val="left" w:pos="567"/>
          <w:tab w:val="left" w:pos="709"/>
        </w:tabs>
        <w:spacing w:line="288" w:lineRule="auto"/>
        <w:ind w:left="567" w:right="720" w:hanging="170"/>
        <w:rPr>
          <w:lang w:val="sv-FI" w:eastAsia="sv-FI" w:bidi="sv-FI"/>
        </w:rPr>
      </w:pPr>
      <w:r w:rsidRPr="006D4B97">
        <w:rPr>
          <w:lang w:val="sv-FI" w:eastAsia="sv-FI" w:bidi="sv-FI"/>
        </w:rPr>
        <w:t xml:space="preserve">- 50 dB L </w:t>
      </w:r>
      <w:proofErr w:type="spellStart"/>
      <w:r w:rsidRPr="006D4B97">
        <w:rPr>
          <w:lang w:val="sv-FI" w:eastAsia="sv-FI" w:bidi="sv-FI"/>
        </w:rPr>
        <w:t>Aeq</w:t>
      </w:r>
      <w:proofErr w:type="spellEnd"/>
      <w:r w:rsidRPr="006D4B97">
        <w:rPr>
          <w:lang w:val="sv-FI" w:eastAsia="sv-FI" w:bidi="sv-FI"/>
        </w:rPr>
        <w:t xml:space="preserve"> kvällstid (kl. 19-22) samt </w:t>
      </w:r>
      <w:r>
        <w:rPr>
          <w:lang w:val="sv-FI" w:eastAsia="sv-FI" w:bidi="sv-FI"/>
        </w:rPr>
        <w:br/>
      </w:r>
      <w:r w:rsidRPr="006D4B97">
        <w:rPr>
          <w:lang w:val="sv-FI" w:eastAsia="sv-FI" w:bidi="sv-FI"/>
        </w:rPr>
        <w:t xml:space="preserve">lördag, söndag och helgdag (kl. 07-19)  </w:t>
      </w:r>
    </w:p>
    <w:p w14:paraId="259D0ACA" w14:textId="77777777" w:rsidR="003F408F" w:rsidRPr="006D4B97" w:rsidRDefault="003F408F" w:rsidP="003F408F">
      <w:pPr>
        <w:tabs>
          <w:tab w:val="left" w:pos="397"/>
          <w:tab w:val="left" w:pos="540"/>
        </w:tabs>
        <w:spacing w:line="288" w:lineRule="auto"/>
        <w:ind w:left="397" w:right="720"/>
        <w:rPr>
          <w:lang w:val="sv-FI" w:eastAsia="sv-FI" w:bidi="sv-FI"/>
        </w:rPr>
      </w:pPr>
      <w:r w:rsidRPr="006D4B97">
        <w:rPr>
          <w:lang w:val="sv-FI" w:eastAsia="sv-FI" w:bidi="sv-FI"/>
        </w:rPr>
        <w:t xml:space="preserve">- 45 dB L </w:t>
      </w:r>
      <w:proofErr w:type="spellStart"/>
      <w:r w:rsidRPr="006D4B97">
        <w:rPr>
          <w:lang w:val="sv-FI" w:eastAsia="sv-FI" w:bidi="sv-FI"/>
        </w:rPr>
        <w:t>Aeq</w:t>
      </w:r>
      <w:proofErr w:type="spellEnd"/>
      <w:r w:rsidRPr="006D4B97">
        <w:rPr>
          <w:lang w:val="sv-FI" w:eastAsia="sv-FI" w:bidi="sv-FI"/>
        </w:rPr>
        <w:t xml:space="preserve"> övriga tider </w:t>
      </w:r>
    </w:p>
    <w:p w14:paraId="14B3BCF4" w14:textId="77777777" w:rsidR="003F408F" w:rsidRPr="006D4B97" w:rsidRDefault="003F408F" w:rsidP="003F408F">
      <w:pPr>
        <w:tabs>
          <w:tab w:val="left" w:pos="397"/>
          <w:tab w:val="left" w:pos="540"/>
        </w:tabs>
        <w:spacing w:before="120" w:line="288" w:lineRule="auto"/>
        <w:ind w:left="397" w:right="720"/>
        <w:rPr>
          <w:lang w:val="sv-FI" w:eastAsia="sv-FI" w:bidi="sv-FI"/>
        </w:rPr>
      </w:pPr>
      <w:r w:rsidRPr="006D4B97">
        <w:rPr>
          <w:lang w:val="sv-FI" w:eastAsia="sv-FI" w:bidi="sv-FI"/>
        </w:rPr>
        <w:t xml:space="preserve">För arbeten med begränsad varaktighet som spontning och pålning, tillåts 5 dBA högre värden. Vid enstaka kortvariga händelser, högst 5 minuter per timme, accepteras 10 dBA högre nivå. Detta gäller inte kvälls- och nattetid. I de fall verksamheten är av begränsad art och även innehåller kortvariga händelser får höjningen av riktvärdet uppgå till sammanlagt 10 dB(A). </w:t>
      </w:r>
    </w:p>
    <w:p w14:paraId="4E64A0C0" w14:textId="77777777" w:rsidR="003F408F" w:rsidRDefault="003F408F" w:rsidP="003F408F">
      <w:pPr>
        <w:tabs>
          <w:tab w:val="left" w:pos="397"/>
          <w:tab w:val="left" w:pos="540"/>
        </w:tabs>
        <w:spacing w:before="120" w:line="288" w:lineRule="auto"/>
        <w:ind w:left="397" w:right="720"/>
        <w:rPr>
          <w:lang w:val="sv-FI" w:eastAsia="sv-FI" w:bidi="sv-FI"/>
        </w:rPr>
      </w:pPr>
      <w:r w:rsidRPr="006D4B97">
        <w:rPr>
          <w:lang w:val="sv-FI" w:eastAsia="sv-FI" w:bidi="sv-FI"/>
        </w:rPr>
        <w:t xml:space="preserve">Tillståndshavaren ska efter anmodan av ÅMHM vid behov utföra mätning av bullernivån.   </w:t>
      </w:r>
    </w:p>
    <w:p w14:paraId="0577C3DD" w14:textId="77777777" w:rsidR="003F408F" w:rsidRPr="009F48FC" w:rsidRDefault="003F408F" w:rsidP="003F408F">
      <w:pPr>
        <w:spacing w:line="288" w:lineRule="auto"/>
        <w:ind w:left="-284" w:right="358" w:firstLine="681"/>
        <w:rPr>
          <w:sz w:val="18"/>
        </w:rPr>
      </w:pPr>
      <w:r w:rsidRPr="009F48FC">
        <w:rPr>
          <w:sz w:val="18"/>
        </w:rPr>
        <w:t xml:space="preserve">24 a) punkten miljöskyddslagen </w:t>
      </w:r>
    </w:p>
    <w:p w14:paraId="0C54FD57" w14:textId="77777777" w:rsidR="003F408F" w:rsidRDefault="003F408F" w:rsidP="003F408F">
      <w:pPr>
        <w:pStyle w:val="Rubrik2"/>
        <w:spacing w:before="480"/>
        <w:ind w:right="-1"/>
        <w:rPr>
          <w:sz w:val="28"/>
        </w:rPr>
      </w:pPr>
      <w:r>
        <w:rPr>
          <w:sz w:val="28"/>
        </w:rPr>
        <w:lastRenderedPageBreak/>
        <w:t>Beslut</w:t>
      </w:r>
      <w:proofErr w:type="spellStart"/>
      <w:r>
        <w:rPr>
          <w:sz w:val="28"/>
          <w:lang w:val="sv-FI" w:eastAsia="sv-FI" w:bidi="sv-FI"/>
        </w:rPr>
        <w:t>smotiveringar</w:t>
      </w:r>
      <w:proofErr w:type="spellEnd"/>
    </w:p>
    <w:p w14:paraId="3387A0B0" w14:textId="77777777" w:rsidR="003F408F" w:rsidRDefault="003F408F" w:rsidP="003F408F">
      <w:pPr>
        <w:pStyle w:val="Rubrik2"/>
        <w:ind w:right="-1"/>
        <w:rPr>
          <w:lang w:val="sv-FI" w:eastAsia="sv-FI" w:bidi="sv-FI"/>
        </w:rPr>
      </w:pPr>
      <w:r>
        <w:rPr>
          <w:lang w:val="sv-FI" w:eastAsia="sv-FI" w:bidi="sv-FI"/>
        </w:rPr>
        <w:t>Verksamheterna och dess placering</w:t>
      </w:r>
    </w:p>
    <w:p w14:paraId="1F7CE644" w14:textId="54385AB5" w:rsidR="004A0229" w:rsidRPr="004A0229" w:rsidRDefault="003F408F" w:rsidP="003F408F">
      <w:pPr>
        <w:tabs>
          <w:tab w:val="left" w:pos="7740"/>
        </w:tabs>
        <w:spacing w:line="288" w:lineRule="auto"/>
        <w:ind w:right="539"/>
        <w:rPr>
          <w:color w:val="auto"/>
        </w:rPr>
      </w:pPr>
      <w:r>
        <w:t xml:space="preserve">Ålands landskapsregering avser </w:t>
      </w:r>
      <w:r w:rsidR="00FC7D9B">
        <w:t xml:space="preserve">åtgärda problem med </w:t>
      </w:r>
      <w:r w:rsidR="004A0229">
        <w:t xml:space="preserve">landsväg 752, dvs </w:t>
      </w:r>
      <w:r w:rsidR="00FC7D9B">
        <w:rPr>
          <w:color w:val="auto"/>
        </w:rPr>
        <w:t xml:space="preserve">vägbanken mellan Torsholma och Lilla </w:t>
      </w:r>
      <w:proofErr w:type="spellStart"/>
      <w:r w:rsidR="00FC7D9B">
        <w:rPr>
          <w:color w:val="auto"/>
        </w:rPr>
        <w:t>Hummelholm</w:t>
      </w:r>
      <w:proofErr w:type="spellEnd"/>
      <w:r w:rsidR="00FC7D9B">
        <w:rPr>
          <w:color w:val="auto"/>
        </w:rPr>
        <w:t xml:space="preserve"> i Brändö kommun.</w:t>
      </w:r>
      <w:r w:rsidR="00FC7D9B">
        <w:t xml:space="preserve"> Vägen har sjunkit och behöver åtgärdas genom </w:t>
      </w:r>
      <w:r>
        <w:t xml:space="preserve">att </w:t>
      </w:r>
      <w:r w:rsidR="002B7740">
        <w:t xml:space="preserve">anlägga mottrycksbankar </w:t>
      </w:r>
      <w:r w:rsidR="00FC7D9B">
        <w:t xml:space="preserve">på respektive sida om vägbanken </w:t>
      </w:r>
      <w:r w:rsidR="002B7740">
        <w:t xml:space="preserve">samt </w:t>
      </w:r>
      <w:r>
        <w:t xml:space="preserve">utföra </w:t>
      </w:r>
      <w:r>
        <w:rPr>
          <w:color w:val="auto"/>
        </w:rPr>
        <w:t xml:space="preserve">utbyte </w:t>
      </w:r>
      <w:r w:rsidR="00FC7D9B">
        <w:rPr>
          <w:color w:val="auto"/>
        </w:rPr>
        <w:t xml:space="preserve">av </w:t>
      </w:r>
      <w:r w:rsidR="002B7740">
        <w:rPr>
          <w:color w:val="auto"/>
        </w:rPr>
        <w:t xml:space="preserve">bankmaterial i </w:t>
      </w:r>
      <w:r w:rsidR="00FC7D9B">
        <w:rPr>
          <w:color w:val="auto"/>
        </w:rPr>
        <w:t>själva vägkroppen från sprängsten till lättklinker. På så vis minskas risk för ytterligare sättningar.</w:t>
      </w:r>
    </w:p>
    <w:p w14:paraId="436C537C" w14:textId="77777777" w:rsidR="003F408F" w:rsidRDefault="003F408F" w:rsidP="003F408F">
      <w:pPr>
        <w:pStyle w:val="Rubrik2"/>
        <w:ind w:right="-1"/>
        <w:rPr>
          <w:lang w:val="sv-FI" w:eastAsia="sv-FI" w:bidi="sv-FI"/>
        </w:rPr>
      </w:pPr>
      <w:r>
        <w:rPr>
          <w:lang w:val="sv-FI" w:eastAsia="sv-FI" w:bidi="sv-FI"/>
        </w:rPr>
        <w:t>Processuella motiveringar</w:t>
      </w:r>
    </w:p>
    <w:p w14:paraId="2DCBA626" w14:textId="5D9A2B8D" w:rsidR="003F408F" w:rsidRDefault="003F408F" w:rsidP="003F408F">
      <w:pPr>
        <w:spacing w:line="288" w:lineRule="auto"/>
        <w:ind w:right="898"/>
      </w:pPr>
      <w:r>
        <w:t>Verksamheten är tillståndspliktig då det omfattar vattenföretag, dvs grävning muddring, utfyllnad i vattenområde med en yta större än 500 m</w:t>
      </w:r>
      <w:r w:rsidRPr="00446723">
        <w:rPr>
          <w:vertAlign w:val="superscript"/>
        </w:rPr>
        <w:t>2</w:t>
      </w:r>
      <w:r>
        <w:t xml:space="preserve"> vars omfattning kräver miljötillstånd enligt 10 § miljöskyddslagen och 6 kap. 15 § punkterna a och f i vattenlagen (1996:61), vattenlagen. </w:t>
      </w:r>
    </w:p>
    <w:p w14:paraId="68F80C83" w14:textId="77777777" w:rsidR="004A0229" w:rsidRDefault="004A0229" w:rsidP="004A0229">
      <w:pPr>
        <w:spacing w:before="120" w:line="288" w:lineRule="auto"/>
        <w:ind w:right="718"/>
      </w:pPr>
      <w:r>
        <w:t xml:space="preserve">Fiskeribyrån anger i sitt utlåtande att området inte är betydande i mening av rekryteringshabitat. </w:t>
      </w:r>
    </w:p>
    <w:p w14:paraId="0F04FB19" w14:textId="77777777" w:rsidR="004A0229" w:rsidRDefault="004A0229" w:rsidP="004A0229">
      <w:pPr>
        <w:spacing w:before="120" w:line="288" w:lineRule="auto"/>
        <w:ind w:right="718"/>
      </w:pPr>
      <w:r>
        <w:t>Enligt utlåtande från Kulturbyrån medför projektet inga i kulturmiljöhänseende negativa konsekvenser och inga kända maritima kulturarv finns i området.</w:t>
      </w:r>
    </w:p>
    <w:p w14:paraId="7E85AAD8" w14:textId="10FCA42E" w:rsidR="004A0229" w:rsidRDefault="004A0229" w:rsidP="004A0229">
      <w:pPr>
        <w:spacing w:before="120" w:line="288" w:lineRule="auto"/>
        <w:ind w:right="718"/>
      </w:pPr>
      <w:r>
        <w:t>Miljötillstånd kan beviljas med stöd av 17 § 1 mom. landskapslagen (2008:124) om miljöskydd, nedan miljöskyddslagen.</w:t>
      </w:r>
    </w:p>
    <w:p w14:paraId="78B1BB12" w14:textId="77777777" w:rsidR="003F408F" w:rsidRDefault="003F408F" w:rsidP="003F408F">
      <w:pPr>
        <w:pStyle w:val="Rubrik2"/>
        <w:ind w:right="-1"/>
        <w:rPr>
          <w:lang w:val="sv-FI" w:eastAsia="sv-FI" w:bidi="sv-FI"/>
        </w:rPr>
      </w:pPr>
      <w:r>
        <w:rPr>
          <w:lang w:val="sv-FI" w:eastAsia="sv-FI" w:bidi="sv-FI"/>
        </w:rPr>
        <w:t>Allmänna innehållsmotiveringar</w:t>
      </w:r>
    </w:p>
    <w:p w14:paraId="55629561" w14:textId="77777777" w:rsidR="003F408F" w:rsidRDefault="003F408F" w:rsidP="003F408F">
      <w:pPr>
        <w:spacing w:line="288" w:lineRule="auto"/>
        <w:ind w:right="538"/>
      </w:pPr>
      <w:r>
        <w:t>ÅMHM har gjort en tillåtlighetsbedömning av verksamheterna samt granskat förutsättningarna för beviljande av tillstånd.</w:t>
      </w:r>
      <w:r>
        <w:rPr>
          <w:color w:val="FF0000"/>
        </w:rPr>
        <w:t xml:space="preserve"> </w:t>
      </w:r>
      <w:r>
        <w:t>ÅMHM konstaterar att då tillståndshavaren vid utförandet av verksamheterna iakttar de villkor som föreskrivs, kommer verksamheterna inte leda till sådan negativ miljöpåverkan som anges i 3 §, a till g punkterna i miljöskyddslagen. ÅMHM beviljar tillstånd med stöd av 17 § miljöskyddslagen då verksamheterna följer denna lag och den lagstiftning som anges i 10 § miljöskyddslagen.</w:t>
      </w:r>
    </w:p>
    <w:p w14:paraId="42097D2F" w14:textId="77777777" w:rsidR="003F408F" w:rsidRDefault="003F408F" w:rsidP="003F408F">
      <w:pPr>
        <w:spacing w:before="120" w:line="288" w:lineRule="auto"/>
        <w:ind w:right="538"/>
      </w:pPr>
      <w:r>
        <w:t>Myndigheten konstaterar att verksamhetsutövaren har påvisat tillräcklig kunskap och att denne är organiserad på ett trovärdigt sätt. ÅMHM konstaterar vidare att företaget uppfyller kravet om verksamhetens organisation enligt 7 § miljöskyddslagen.</w:t>
      </w:r>
    </w:p>
    <w:p w14:paraId="69CA452C" w14:textId="77777777" w:rsidR="00405A7D" w:rsidRDefault="00405A7D">
      <w:pPr>
        <w:spacing w:after="200"/>
        <w:rPr>
          <w:b/>
          <w:lang w:val="sv-FI" w:eastAsia="sv-FI" w:bidi="sv-FI"/>
        </w:rPr>
      </w:pPr>
      <w:r>
        <w:rPr>
          <w:lang w:val="sv-FI" w:eastAsia="sv-FI" w:bidi="sv-FI"/>
        </w:rPr>
        <w:br w:type="page"/>
      </w:r>
    </w:p>
    <w:p w14:paraId="011450D7" w14:textId="4AB3AB95" w:rsidR="003F408F" w:rsidRPr="00446723" w:rsidRDefault="003F408F" w:rsidP="003F408F">
      <w:pPr>
        <w:pStyle w:val="Rubrik2"/>
        <w:ind w:right="-1"/>
        <w:rPr>
          <w:lang w:val="sv-FI" w:eastAsia="sv-FI" w:bidi="sv-FI"/>
        </w:rPr>
      </w:pPr>
      <w:r>
        <w:rPr>
          <w:lang w:val="sv-FI" w:eastAsia="sv-FI" w:bidi="sv-FI"/>
        </w:rPr>
        <w:lastRenderedPageBreak/>
        <w:t>Detaljerade innehållsmotiveringar</w:t>
      </w:r>
    </w:p>
    <w:p w14:paraId="3F6A396D" w14:textId="6E2AF523" w:rsidR="00405A7D" w:rsidRDefault="003F408F" w:rsidP="003F408F">
      <w:pPr>
        <w:spacing w:before="120" w:line="288" w:lineRule="auto"/>
        <w:ind w:right="538"/>
      </w:pPr>
      <w:r>
        <w:t xml:space="preserve">Vattenarbetet </w:t>
      </w:r>
      <w:r w:rsidR="00EF1673">
        <w:t xml:space="preserve">med uppförande av mottrycksbankar innebär att man fyller ut vattenområdet med bergmaterial för att öka trycket runtomkring, dvs </w:t>
      </w:r>
      <w:r w:rsidR="00DB491F">
        <w:t xml:space="preserve">under vägbanken. </w:t>
      </w:r>
      <w:r w:rsidR="00405A7D">
        <w:t xml:space="preserve">Mottrycksbankarnas höjd blir ca 2 m ovan botten. Genomströmning och möjlighet till samfärdsel påverkas inte av projektet. Samfärdsel med båt under bron kan dock försvåras under byggtiden. Vägbanken är avstängd för biltrafik och skärgårdsfärjan angör istället gamla färjfästet på Torsholma. </w:t>
      </w:r>
    </w:p>
    <w:p w14:paraId="4EF47016" w14:textId="581BD93F" w:rsidR="00EF1673" w:rsidRDefault="00DB491F" w:rsidP="003F408F">
      <w:pPr>
        <w:spacing w:before="120" w:line="288" w:lineRule="auto"/>
        <w:ind w:right="538"/>
      </w:pPr>
      <w:r>
        <w:t xml:space="preserve">Utfyllnadsarbetet </w:t>
      </w:r>
      <w:r w:rsidR="003F408F">
        <w:t xml:space="preserve">kommer att förorsaka </w:t>
      </w:r>
      <w:r>
        <w:t>viss</w:t>
      </w:r>
      <w:r w:rsidR="003F408F">
        <w:t xml:space="preserve"> uppgrumling av bottensediment och en lokal och temporär förändring i livsmiljön för växter och djur.</w:t>
      </w:r>
      <w:r w:rsidR="00FB118F">
        <w:t xml:space="preserve"> Som försiktighetsmått ska utfyllnaden utföras så att vattenområdena och angränsande landområden utsätts för störningar i så liten utsträckning som möjligt och på ett sådant sätt så att uppgrumling av sedimenten är så liten som möjlig för att minimera risken för störningar i enlighet med 4 kap. 1 och 4 §§ vattenlagen.</w:t>
      </w:r>
    </w:p>
    <w:p w14:paraId="1F11CEA9" w14:textId="0435360D" w:rsidR="00EF1673" w:rsidRDefault="003F408F" w:rsidP="003F408F">
      <w:pPr>
        <w:spacing w:before="120" w:line="288" w:lineRule="auto"/>
        <w:ind w:right="538"/>
      </w:pPr>
      <w:r>
        <w:t xml:space="preserve">Verksamhetens inverkan på </w:t>
      </w:r>
      <w:r w:rsidR="00FB118F">
        <w:t xml:space="preserve">växtlighet och </w:t>
      </w:r>
      <w:r>
        <w:t xml:space="preserve">fiskbeståndet </w:t>
      </w:r>
      <w:r w:rsidR="00FB118F">
        <w:t>samt</w:t>
      </w:r>
      <w:r>
        <w:t xml:space="preserve"> rekreationsmöjligheterna har minimerats genom reglering av den period </w:t>
      </w:r>
      <w:r w:rsidR="00FB118F">
        <w:t xml:space="preserve">under året </w:t>
      </w:r>
      <w:r>
        <w:t xml:space="preserve">under vilken </w:t>
      </w:r>
      <w:r w:rsidR="00FB118F">
        <w:t>vattena</w:t>
      </w:r>
      <w:r>
        <w:t xml:space="preserve">rbeten får utföras i enlighet med 4 kap. 4 § vattenlagen. </w:t>
      </w:r>
    </w:p>
    <w:p w14:paraId="0C41489F" w14:textId="6F862383" w:rsidR="00EF1673" w:rsidRDefault="00EF1673" w:rsidP="00EF1673">
      <w:pPr>
        <w:spacing w:before="120" w:line="288" w:lineRule="auto"/>
        <w:ind w:right="538"/>
      </w:pPr>
      <w:r>
        <w:t xml:space="preserve">I området har noterats varvig lera med inblandning av sulfid. Då sulfid kommer i kontakt med syre oxiderar den och orsakar starkt surt pH, vilket är giftigt för vattenlevande flora och fauna. Vid anläggande av tryckbankar finns en risk för upptryckning av lera och sulfid kan eventuellt komma i kontakt med syre. </w:t>
      </w:r>
      <w:r w:rsidR="00FB118F">
        <w:t xml:space="preserve">Utan närmare detaljanalys av sulfidhalten i leran bör försiktighetsmått vidtagas genom att först lägga ut </w:t>
      </w:r>
      <w:proofErr w:type="spellStart"/>
      <w:r w:rsidR="00FB118F">
        <w:t>geoduk</w:t>
      </w:r>
      <w:proofErr w:type="spellEnd"/>
      <w:r w:rsidR="00FB118F">
        <w:t xml:space="preserve"> av tillräcklig bärighetsklass för att kapsla in leran och undvika uppressning. Villkor 3 ges med stöd av </w:t>
      </w:r>
      <w:r w:rsidR="00FB118F" w:rsidRPr="00FB118F">
        <w:t>4 kap. 1 och 4 §§ vattenlagen</w:t>
      </w:r>
      <w:r w:rsidR="00FB118F">
        <w:t>.</w:t>
      </w:r>
    </w:p>
    <w:p w14:paraId="68EFD493" w14:textId="77777777" w:rsidR="003F408F" w:rsidRDefault="003F408F" w:rsidP="003F408F">
      <w:pPr>
        <w:spacing w:before="120" w:line="288" w:lineRule="auto"/>
        <w:ind w:right="538"/>
      </w:pPr>
      <w:r>
        <w:t xml:space="preserve">Vattenföretaget förorsakar en viss miljöförorening i form av buller. Omfattningen av föroreningar har begränsats genom villkor om bullerriktvärden. ÅMHM konstaterar att bullrande verksamhet generellt upplevs som mera störande under kvällstid, lördagar, söndagar och helgdagar. Därför tillämpas lägre bullerriktvärden under dessa tider. </w:t>
      </w:r>
    </w:p>
    <w:p w14:paraId="53BAEE45" w14:textId="77777777" w:rsidR="003F408F" w:rsidRDefault="003F408F" w:rsidP="003F408F">
      <w:pPr>
        <w:spacing w:before="120" w:line="288" w:lineRule="auto"/>
        <w:ind w:right="538"/>
      </w:pPr>
      <w:r>
        <w:t xml:space="preserve">För verksamheten har fastställts villkor som förhindrar, förebygger och begränsar negativ miljöpåverkan, i enlighet med miljöskyddslagens 4 §, samt minskar företagets negativa inverkan på enskilda och allmänna intressen enligt 4 kap. 1 och 4 §§ vattenlagen. Vid fastställandet av dessa villkor har nyttan av de föreskriva åtgärderna vägts mot kostnaderna för sådana åtgärder. Med iakttagande av de i tillståndet givna tillståndsvillkoren kan vattenföretaget förverkligas i enlighet med miljöskyddslagen och övrig lagstiftning som nämns i 10 § samma lag.  </w:t>
      </w:r>
    </w:p>
    <w:p w14:paraId="3636B872" w14:textId="77777777" w:rsidR="003F408F" w:rsidRDefault="003F408F" w:rsidP="003F408F">
      <w:pPr>
        <w:spacing w:before="120" w:line="288" w:lineRule="auto"/>
        <w:ind w:right="538"/>
      </w:pPr>
      <w:r>
        <w:lastRenderedPageBreak/>
        <w:t xml:space="preserve">Med ovanstående motivering konstaterar ÅMHM att det är utrett att samtliga förutsättningar för tillstånd i miljöskyddslagen och i vattenlagen samt i bestämmelser som utfärdats med stöd av dessa är uppfyllda. </w:t>
      </w:r>
    </w:p>
    <w:p w14:paraId="6C4EB14C" w14:textId="77777777" w:rsidR="003F408F" w:rsidRDefault="003F408F" w:rsidP="003F408F">
      <w:pPr>
        <w:pStyle w:val="Rubrik2"/>
        <w:ind w:right="-1"/>
        <w:rPr>
          <w:sz w:val="28"/>
        </w:rPr>
      </w:pPr>
      <w:r>
        <w:rPr>
          <w:sz w:val="28"/>
        </w:rPr>
        <w:t>Avgift</w:t>
      </w:r>
    </w:p>
    <w:p w14:paraId="21F4A02E" w14:textId="77777777" w:rsidR="003F408F" w:rsidRDefault="003F408F" w:rsidP="003F408F">
      <w:pPr>
        <w:spacing w:line="288" w:lineRule="auto"/>
      </w:pPr>
      <w:r>
        <w:t xml:space="preserve">För detta tillståndsbeslut uppbärs avgift i enlighet med avgiftstabell 1 i Ålands landskapsregerings beslut (2018:99) om taxa för ÅMHM. </w:t>
      </w:r>
    </w:p>
    <w:p w14:paraId="40B1CA05" w14:textId="77777777" w:rsidR="003F408F" w:rsidRDefault="003F408F" w:rsidP="003F408F">
      <w:pPr>
        <w:spacing w:line="288" w:lineRule="auto"/>
      </w:pPr>
    </w:p>
    <w:p w14:paraId="7F9FFC54" w14:textId="77777777" w:rsidR="003F408F" w:rsidRDefault="003F408F" w:rsidP="003F408F">
      <w:pPr>
        <w:spacing w:after="120"/>
        <w:ind w:right="-1"/>
        <w:rPr>
          <w:lang w:val="sv-FI" w:eastAsia="sv-FI" w:bidi="sv-FI"/>
        </w:rPr>
      </w:pPr>
      <w:r>
        <w:rPr>
          <w:color w:val="auto"/>
          <w:lang w:val="sv-FI" w:eastAsia="sv-FI" w:bidi="sv-FI"/>
        </w:rPr>
        <w:t>Muddring el utfyllnad i vattenområde</w:t>
      </w:r>
      <w:r>
        <w:tab/>
      </w:r>
      <w:r>
        <w:tab/>
      </w:r>
      <w:r>
        <w:tab/>
        <w:t>1651</w:t>
      </w:r>
      <w:r>
        <w:rPr>
          <w:lang w:val="sv-FI" w:eastAsia="sv-FI" w:bidi="sv-FI"/>
        </w:rPr>
        <w:t xml:space="preserve"> €</w:t>
      </w:r>
    </w:p>
    <w:p w14:paraId="37A00C8A" w14:textId="77777777" w:rsidR="003F408F" w:rsidRDefault="003F408F" w:rsidP="003F408F">
      <w:pPr>
        <w:spacing w:after="120"/>
        <w:ind w:right="-1"/>
      </w:pPr>
    </w:p>
    <w:p w14:paraId="120DE4E0" w14:textId="77777777" w:rsidR="003F408F" w:rsidRDefault="003F408F" w:rsidP="003F408F">
      <w:pPr>
        <w:pStyle w:val="Rubrik2"/>
        <w:ind w:right="-1"/>
        <w:rPr>
          <w:sz w:val="28"/>
        </w:rPr>
      </w:pPr>
      <w:r>
        <w:rPr>
          <w:sz w:val="28"/>
        </w:rPr>
        <w:t>Besvär</w:t>
      </w:r>
    </w:p>
    <w:p w14:paraId="3A121794" w14:textId="77777777" w:rsidR="003F408F" w:rsidRDefault="003F408F" w:rsidP="003F408F">
      <w:pPr>
        <w:ind w:right="-1"/>
      </w:pPr>
      <w:proofErr w:type="spellStart"/>
      <w:r>
        <w:t>Besvärsanvisning</w:t>
      </w:r>
      <w:proofErr w:type="spellEnd"/>
      <w:r>
        <w:t xml:space="preserve"> bifogas.</w:t>
      </w:r>
    </w:p>
    <w:p w14:paraId="631F5710" w14:textId="77777777" w:rsidR="003F408F" w:rsidRDefault="003F408F" w:rsidP="003F408F">
      <w:pPr>
        <w:ind w:right="-1"/>
      </w:pPr>
    </w:p>
    <w:p w14:paraId="445BF9E6" w14:textId="77777777" w:rsidR="003F408F" w:rsidRDefault="003F408F" w:rsidP="003F408F">
      <w:pPr>
        <w:ind w:right="-1"/>
      </w:pPr>
    </w:p>
    <w:p w14:paraId="178EB46A" w14:textId="77777777" w:rsidR="003F408F" w:rsidRDefault="003F408F" w:rsidP="003F408F">
      <w:pPr>
        <w:ind w:right="-1"/>
      </w:pPr>
      <w:r>
        <w:t>Beslutet justeras omedelbart.</w:t>
      </w:r>
    </w:p>
    <w:p w14:paraId="58AC0166" w14:textId="77777777" w:rsidR="003F408F" w:rsidRDefault="003F408F" w:rsidP="003F408F">
      <w:pPr>
        <w:ind w:right="-1"/>
      </w:pPr>
    </w:p>
    <w:p w14:paraId="59BE9D6A" w14:textId="77777777" w:rsidR="003F408F" w:rsidRDefault="003F408F" w:rsidP="003F408F">
      <w:pPr>
        <w:ind w:right="-1"/>
      </w:pPr>
    </w:p>
    <w:p w14:paraId="00A9D2EA" w14:textId="77777777" w:rsidR="003F408F" w:rsidRDefault="003F408F" w:rsidP="003F408F">
      <w:pPr>
        <w:ind w:right="-1"/>
      </w:pPr>
      <w:r>
        <w:t>För Ålands miljö- och hälsoskyddsmyndighet</w:t>
      </w:r>
    </w:p>
    <w:p w14:paraId="0E0D0199" w14:textId="77777777" w:rsidR="003F408F" w:rsidRDefault="003F408F" w:rsidP="003F408F">
      <w:pPr>
        <w:ind w:right="-1"/>
      </w:pPr>
    </w:p>
    <w:p w14:paraId="240312F7" w14:textId="77777777" w:rsidR="003F408F" w:rsidRDefault="003F408F" w:rsidP="003F408F">
      <w:pPr>
        <w:ind w:right="-1"/>
      </w:pPr>
    </w:p>
    <w:p w14:paraId="24FB5E8B" w14:textId="77777777" w:rsidR="003F408F" w:rsidRDefault="003F408F" w:rsidP="003F408F">
      <w:pPr>
        <w:ind w:right="-1"/>
      </w:pPr>
    </w:p>
    <w:p w14:paraId="5A66BD4B" w14:textId="77777777" w:rsidR="003F408F" w:rsidRDefault="003F408F" w:rsidP="003F408F">
      <w:pPr>
        <w:ind w:right="-1"/>
      </w:pPr>
      <w:r>
        <w:rPr>
          <w:lang w:val="sv-FI" w:eastAsia="sv-FI" w:bidi="sv-FI"/>
        </w:rPr>
        <w:t>Ulrika Sandell-Boman</w:t>
      </w:r>
      <w:r>
        <w:tab/>
      </w:r>
      <w:r>
        <w:tab/>
        <w:t>Mikael Stjärnfelt</w:t>
      </w:r>
    </w:p>
    <w:p w14:paraId="3278D0AF" w14:textId="77777777" w:rsidR="003F408F" w:rsidRDefault="003F408F" w:rsidP="003F408F">
      <w:pPr>
        <w:ind w:right="-1"/>
      </w:pPr>
      <w:r>
        <w:rPr>
          <w:lang w:val="sv-FI" w:eastAsia="sv-FI" w:bidi="sv-FI"/>
        </w:rPr>
        <w:t>Ordförande, Prövningsnämnden</w:t>
      </w:r>
      <w:r>
        <w:tab/>
        <w:t>Miljöskyddsinspektör</w:t>
      </w:r>
      <w:r>
        <w:br/>
        <w:t>Beslutande</w:t>
      </w:r>
      <w:r>
        <w:tab/>
      </w:r>
      <w:r>
        <w:tab/>
      </w:r>
      <w:r>
        <w:tab/>
        <w:t>Föredragande</w:t>
      </w:r>
    </w:p>
    <w:p w14:paraId="5FEA910E" w14:textId="77777777" w:rsidR="003F408F" w:rsidRDefault="003F408F" w:rsidP="003F408F">
      <w:pPr>
        <w:ind w:right="-1"/>
      </w:pPr>
    </w:p>
    <w:p w14:paraId="44CBAADD" w14:textId="77777777" w:rsidR="003F408F" w:rsidRDefault="003F408F" w:rsidP="003F408F">
      <w:pPr>
        <w:pStyle w:val="Rubrik3"/>
        <w:ind w:right="-1"/>
      </w:pPr>
      <w:r>
        <w:t>Bilagor</w:t>
      </w:r>
    </w:p>
    <w:p w14:paraId="5466C5E3" w14:textId="77777777" w:rsidR="003F408F" w:rsidRDefault="003F408F" w:rsidP="003F408F">
      <w:pPr>
        <w:pStyle w:val="Liststycke"/>
        <w:numPr>
          <w:ilvl w:val="0"/>
          <w:numId w:val="1"/>
        </w:numPr>
        <w:tabs>
          <w:tab w:val="left" w:pos="993"/>
        </w:tabs>
        <w:ind w:right="-1" w:hanging="360"/>
      </w:pPr>
      <w:r>
        <w:rPr>
          <w:lang w:val="sv-FI" w:eastAsia="sv-FI" w:bidi="sv-FI"/>
        </w:rPr>
        <w:t>Ärendehantering</w:t>
      </w:r>
    </w:p>
    <w:p w14:paraId="05C27AFF" w14:textId="77777777" w:rsidR="003F408F" w:rsidRDefault="003F408F" w:rsidP="003F408F">
      <w:pPr>
        <w:pStyle w:val="Liststycke"/>
        <w:numPr>
          <w:ilvl w:val="0"/>
          <w:numId w:val="1"/>
        </w:numPr>
        <w:tabs>
          <w:tab w:val="left" w:pos="993"/>
        </w:tabs>
        <w:ind w:right="-1" w:hanging="360"/>
      </w:pPr>
      <w:proofErr w:type="spellStart"/>
      <w:r>
        <w:t>Besvärsanvisning</w:t>
      </w:r>
      <w:proofErr w:type="spellEnd"/>
      <w:r>
        <w:t xml:space="preserve"> </w:t>
      </w:r>
    </w:p>
    <w:p w14:paraId="10F540D6" w14:textId="77777777" w:rsidR="003F408F" w:rsidRDefault="003F408F" w:rsidP="003F408F">
      <w:pPr>
        <w:pStyle w:val="Liststycke"/>
        <w:ind w:right="-1"/>
      </w:pPr>
    </w:p>
    <w:p w14:paraId="38EB0EF7" w14:textId="77777777" w:rsidR="00405A7D" w:rsidRDefault="00405A7D">
      <w:pPr>
        <w:spacing w:after="200"/>
        <w:rPr>
          <w:b/>
        </w:rPr>
      </w:pPr>
      <w:r>
        <w:br w:type="page"/>
      </w:r>
    </w:p>
    <w:p w14:paraId="0F6F0DA0" w14:textId="0FCCA538" w:rsidR="003F408F" w:rsidRDefault="003F408F" w:rsidP="003F408F">
      <w:pPr>
        <w:pStyle w:val="Rubrik2"/>
        <w:ind w:left="5216" w:right="-1" w:firstLine="1304"/>
      </w:pPr>
      <w:r>
        <w:lastRenderedPageBreak/>
        <w:t>Bilaga 1</w:t>
      </w:r>
    </w:p>
    <w:p w14:paraId="326A5F1C" w14:textId="77777777" w:rsidR="003F408F" w:rsidRDefault="003F408F" w:rsidP="003F408F">
      <w:pPr>
        <w:pStyle w:val="Rubrik2"/>
        <w:ind w:right="-1"/>
      </w:pPr>
    </w:p>
    <w:p w14:paraId="35CF808D" w14:textId="77777777" w:rsidR="003F408F" w:rsidRDefault="003F408F" w:rsidP="003F408F">
      <w:pPr>
        <w:pStyle w:val="Rubrik2"/>
        <w:ind w:right="-1"/>
        <w:rPr>
          <w:sz w:val="28"/>
        </w:rPr>
      </w:pPr>
      <w:r>
        <w:rPr>
          <w:sz w:val="28"/>
          <w:lang w:val="sv-FI" w:eastAsia="sv-FI" w:bidi="sv-FI"/>
        </w:rPr>
        <w:t>Ärendehantering</w:t>
      </w:r>
    </w:p>
    <w:p w14:paraId="748370B8" w14:textId="77777777" w:rsidR="003F408F" w:rsidRDefault="003F408F" w:rsidP="003F408F">
      <w:pPr>
        <w:pStyle w:val="Rubrik2"/>
        <w:ind w:right="-1"/>
        <w:rPr>
          <w:lang w:val="sv-FI" w:eastAsia="sv-FI" w:bidi="sv-FI"/>
        </w:rPr>
      </w:pPr>
      <w:r>
        <w:rPr>
          <w:lang w:val="sv-FI" w:eastAsia="sv-FI" w:bidi="sv-FI"/>
        </w:rPr>
        <w:t>Ansökan</w:t>
      </w:r>
    </w:p>
    <w:p w14:paraId="71883854" w14:textId="16666A9F" w:rsidR="003F408F" w:rsidRDefault="003F408F" w:rsidP="003F408F">
      <w:pPr>
        <w:spacing w:line="288" w:lineRule="auto"/>
        <w:ind w:right="164"/>
      </w:pPr>
      <w:r>
        <w:t xml:space="preserve">Ålands landskapsregering har ansökt om miljötillstånd för </w:t>
      </w:r>
      <w:r w:rsidR="00367E4D">
        <w:t xml:space="preserve">anläggande av tryckbankar och utbyte av bankmaterial till lättviktsmaterial i vägbank mellan Lilla </w:t>
      </w:r>
      <w:proofErr w:type="spellStart"/>
      <w:r w:rsidR="00367E4D">
        <w:t>Hummelholm</w:t>
      </w:r>
      <w:proofErr w:type="spellEnd"/>
      <w:r w:rsidR="00367E4D">
        <w:t xml:space="preserve"> och Torsholma, Brändö</w:t>
      </w:r>
      <w:r w:rsidRPr="00EE443C">
        <w:t xml:space="preserve">. </w:t>
      </w:r>
    </w:p>
    <w:p w14:paraId="11E5E787" w14:textId="77777777" w:rsidR="003F408F" w:rsidRDefault="003F408F" w:rsidP="003F408F">
      <w:pPr>
        <w:pStyle w:val="Rubrik2"/>
        <w:ind w:right="-1"/>
        <w:rPr>
          <w:lang w:val="sv-FI" w:eastAsia="sv-FI" w:bidi="sv-FI"/>
        </w:rPr>
      </w:pPr>
      <w:r>
        <w:rPr>
          <w:lang w:val="sv-FI" w:eastAsia="sv-FI" w:bidi="sv-FI"/>
        </w:rPr>
        <w:t>Delgivning av ansökan</w:t>
      </w:r>
    </w:p>
    <w:p w14:paraId="3BEFE702" w14:textId="77777777" w:rsidR="003F408F" w:rsidRDefault="003F408F" w:rsidP="003F408F">
      <w:pPr>
        <w:spacing w:before="120" w:line="288" w:lineRule="auto"/>
      </w:pPr>
      <w:r>
        <w:t xml:space="preserve">Ansökan delgavs offentligt under tiden 22 december 2020 – 19 januari 2021 på </w:t>
      </w:r>
      <w:proofErr w:type="spellStart"/>
      <w:r>
        <w:t>ÅMHM:s</w:t>
      </w:r>
      <w:proofErr w:type="spellEnd"/>
      <w:r>
        <w:t xml:space="preserve"> elektroniska anslagstavla. I delgivningen framgick att vem som helst hade rätt att skriftligen yttra sig över ansökan inom ovan nämnda tid.</w:t>
      </w:r>
    </w:p>
    <w:p w14:paraId="7D7DFDB5" w14:textId="77777777" w:rsidR="003F408F" w:rsidRDefault="003F408F" w:rsidP="003F408F">
      <w:pPr>
        <w:pStyle w:val="Rubrik2"/>
        <w:ind w:right="-1"/>
        <w:rPr>
          <w:lang w:val="sv-FI" w:eastAsia="sv-FI" w:bidi="sv-FI"/>
        </w:rPr>
      </w:pPr>
      <w:r>
        <w:rPr>
          <w:lang w:val="sv-FI" w:eastAsia="sv-FI" w:bidi="sv-FI"/>
        </w:rPr>
        <w:t>Yttranden</w:t>
      </w:r>
    </w:p>
    <w:p w14:paraId="657AFB9E" w14:textId="77777777" w:rsidR="003F408F" w:rsidRDefault="003F408F" w:rsidP="003F408F">
      <w:r>
        <w:t>Inga yttranden har inkommit under tiden för offentlig delgivning.</w:t>
      </w:r>
    </w:p>
    <w:p w14:paraId="3A13C7C5" w14:textId="77777777" w:rsidR="003F408F" w:rsidRDefault="003F408F" w:rsidP="003F408F">
      <w:pPr>
        <w:pStyle w:val="Rubrik2"/>
        <w:ind w:right="-1"/>
        <w:rPr>
          <w:lang w:val="sv-FI" w:eastAsia="sv-FI" w:bidi="sv-FI"/>
        </w:rPr>
      </w:pPr>
      <w:r>
        <w:rPr>
          <w:lang w:val="sv-FI" w:eastAsia="sv-FI" w:bidi="sv-FI"/>
        </w:rPr>
        <w:t>Utlåtanden</w:t>
      </w:r>
    </w:p>
    <w:p w14:paraId="718CC1B1" w14:textId="77777777" w:rsidR="00B94A41" w:rsidRDefault="00B94A41" w:rsidP="00B94A41">
      <w:pPr>
        <w:spacing w:line="288" w:lineRule="auto"/>
      </w:pPr>
      <w:r>
        <w:t>ÅMHM har inte begärt några utlåtanden. De utlåtanden som behövs i ärendet har inhämtats av sökanden och finns i ansökan.</w:t>
      </w:r>
    </w:p>
    <w:p w14:paraId="71B9762E" w14:textId="77777777" w:rsidR="003F408F" w:rsidRDefault="003F408F" w:rsidP="003F408F">
      <w:pPr>
        <w:pStyle w:val="Rubrik2"/>
        <w:ind w:right="-1"/>
        <w:rPr>
          <w:lang w:val="sv-FI" w:eastAsia="sv-FI" w:bidi="sv-FI"/>
        </w:rPr>
      </w:pPr>
      <w:r>
        <w:rPr>
          <w:lang w:val="sv-FI" w:eastAsia="sv-FI" w:bidi="sv-FI"/>
        </w:rPr>
        <w:t>Bemötande</w:t>
      </w:r>
    </w:p>
    <w:p w14:paraId="72F7C23C" w14:textId="77777777" w:rsidR="003F408F" w:rsidRDefault="003F408F" w:rsidP="003F408F">
      <w:pPr>
        <w:spacing w:line="288" w:lineRule="auto"/>
      </w:pPr>
      <w:r>
        <w:t>Inga nya handlingar har tillförts ärendet och behov av hörande har ej förelegat.</w:t>
      </w:r>
    </w:p>
    <w:p w14:paraId="25E37DFF" w14:textId="77777777" w:rsidR="003F408F" w:rsidRDefault="003F408F" w:rsidP="003F408F">
      <w:pPr>
        <w:pStyle w:val="Rubrik2"/>
        <w:ind w:right="-1"/>
        <w:rPr>
          <w:lang w:val="sv-FI" w:eastAsia="sv-FI" w:bidi="sv-FI"/>
        </w:rPr>
      </w:pPr>
      <w:r>
        <w:rPr>
          <w:lang w:val="sv-FI" w:eastAsia="sv-FI" w:bidi="sv-FI"/>
        </w:rPr>
        <w:t>Delgivning av beslut</w:t>
      </w:r>
    </w:p>
    <w:p w14:paraId="23655F67" w14:textId="77777777" w:rsidR="003F408F" w:rsidRDefault="003F408F" w:rsidP="003F408F">
      <w:pPr>
        <w:tabs>
          <w:tab w:val="left" w:pos="3960"/>
        </w:tabs>
        <w:spacing w:line="288" w:lineRule="auto"/>
      </w:pPr>
      <w:r>
        <w:t xml:space="preserve">Tillståndsbeslutet sänds till sökanden med mottagningsbevis. Beslutet delges offentligt på </w:t>
      </w:r>
      <w:proofErr w:type="spellStart"/>
      <w:r>
        <w:t>ÅMHM:s</w:t>
      </w:r>
      <w:proofErr w:type="spellEnd"/>
      <w:r>
        <w:t xml:space="preserve"> elektroniska anslagstavla och beslutet finns tillgängligt på </w:t>
      </w:r>
      <w:proofErr w:type="spellStart"/>
      <w:r>
        <w:t>ÅMHM:s</w:t>
      </w:r>
      <w:proofErr w:type="spellEnd"/>
      <w:r>
        <w:t xml:space="preserve"> hemsida, </w:t>
      </w:r>
      <w:hyperlink r:id="rId7" w:history="1">
        <w:r w:rsidRPr="00D3459E">
          <w:rPr>
            <w:rStyle w:val="Hyperlnk"/>
            <w:i/>
          </w:rPr>
          <w:t>www.amhm.ax</w:t>
        </w:r>
      </w:hyperlink>
      <w:r>
        <w:t>. I delgivningen framgår att sakägare kan anföra besvär över beslutet hos Ålands förvaltningsdomstol.</w:t>
      </w:r>
    </w:p>
    <w:p w14:paraId="0309BC00" w14:textId="77777777" w:rsidR="003F408F" w:rsidRDefault="003F408F" w:rsidP="003F408F">
      <w:pPr>
        <w:spacing w:before="120" w:line="288" w:lineRule="auto"/>
      </w:pPr>
    </w:p>
    <w:p w14:paraId="277E0DB7" w14:textId="77777777" w:rsidR="003F408F" w:rsidRDefault="003F408F" w:rsidP="003F408F">
      <w:pPr>
        <w:ind w:right="-1"/>
      </w:pPr>
    </w:p>
    <w:p w14:paraId="6C93B67F" w14:textId="77777777" w:rsidR="00B22B9B" w:rsidRPr="003F408F" w:rsidRDefault="00B22B9B" w:rsidP="003F408F"/>
    <w:sectPr w:rsidR="00B22B9B" w:rsidRPr="003F408F">
      <w:headerReference w:type="default" r:id="rId8"/>
      <w:footerReference w:type="default" r:id="rId9"/>
      <w:headerReference w:type="first" r:id="rId10"/>
      <w:footerReference w:type="first" r:id="rId11"/>
      <w:pgSz w:w="11906" w:h="16838"/>
      <w:pgMar w:top="1418" w:right="1701" w:bottom="1418" w:left="2267" w:header="85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22E0EA" w14:textId="77777777" w:rsidR="00D2488C" w:rsidRDefault="00E760E0">
      <w:r>
        <w:separator/>
      </w:r>
    </w:p>
  </w:endnote>
  <w:endnote w:type="continuationSeparator" w:id="0">
    <w:p w14:paraId="1CF08E8C" w14:textId="77777777" w:rsidR="00D2488C" w:rsidRDefault="00E7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0BE6" w14:textId="77777777" w:rsidR="00B22B9B" w:rsidRDefault="00B22B9B"/>
  <w:p w14:paraId="57E94AB3" w14:textId="77777777" w:rsidR="00B22B9B" w:rsidRDefault="00B22B9B"/>
  <w:p w14:paraId="2BE38E32" w14:textId="1C0F8263" w:rsidR="00B22B9B" w:rsidRDefault="00B94A41">
    <w:r>
      <w:rPr>
        <w:noProof/>
      </w:rPr>
      <w:pict w14:anchorId="081B581A">
        <v:rect id="Text Box 4" o:spid="_x0000_s1027" style="position:absolute;margin-left:510.2pt;margin-top:779.5pt;width:38.85pt;height:21.6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" o:allowincell="f" o:allowoverlap="f" stroked="f">
          <v:textbox>
            <w:txbxContent>
              <w:p w14:paraId="04470308" w14:textId="77777777" w:rsidR="00B22B9B" w:rsidRDefault="00E760E0">
                <w:r>
                  <w:rPr>
                    <w:sz w:val="22"/>
                  </w:rPr>
                  <w:fldChar w:fldCharType="begin"/>
                </w:r>
                <w:r>
                  <w:rPr>
                    <w:sz w:val="22"/>
                  </w:rPr>
                  <w:instrText xml:space="preserve"> PAGE </w:instrText>
                </w:r>
                <w:r>
                  <w:rPr>
                    <w:sz w:val="22"/>
                  </w:rPr>
                  <w:fldChar w:fldCharType="separate"/>
                </w:r>
                <w:r>
                  <w:rPr>
                    <w:sz w:val="22"/>
                  </w:rPr>
                  <w:t>#</w:t>
                </w:r>
                <w:r>
                  <w:rPr>
                    <w:rFonts w:ascii="Calibri" w:hAnsi="Calibri"/>
                  </w:rPr>
                  <w:fldChar w:fldCharType="end"/>
                </w:r>
                <w:r>
                  <w:rPr>
                    <w:sz w:val="22"/>
                    <w:lang w:val="sv-FI" w:eastAsia="sv-FI" w:bidi="sv-FI"/>
                  </w:rPr>
                  <w:t>(</w:t>
                </w:r>
                <w:r>
                  <w:rPr>
                    <w:sz w:val="22"/>
                    <w:lang w:val="sv-FI" w:eastAsia="sv-FI" w:bidi="sv-FI"/>
                  </w:rPr>
                  <w:fldChar w:fldCharType="begin"/>
                </w:r>
                <w:r>
                  <w:rPr>
                    <w:sz w:val="22"/>
                    <w:lang w:val="sv-FI" w:eastAsia="sv-FI" w:bidi="sv-FI"/>
                  </w:rPr>
                  <w:instrText xml:space="preserve"> NUMPAGES </w:instrText>
                </w:r>
                <w:r>
                  <w:rPr>
                    <w:sz w:val="22"/>
                    <w:lang w:val="sv-FI" w:eastAsia="sv-FI" w:bidi="sv-FI"/>
                  </w:rPr>
                  <w:fldChar w:fldCharType="separate"/>
                </w:r>
                <w:r>
                  <w:rPr>
                    <w:sz w:val="22"/>
                    <w:lang w:val="sv-FI" w:eastAsia="sv-FI" w:bidi="sv-FI"/>
                  </w:rPr>
                  <w:t>#</w:t>
                </w:r>
                <w:r>
                  <w:rPr>
                    <w:rFonts w:ascii="Calibri" w:hAnsi="Calibri"/>
                  </w:rPr>
                  <w:fldChar w:fldCharType="end"/>
                </w:r>
                <w:r>
                  <w:rPr>
                    <w:sz w:val="22"/>
                    <w:lang w:val="sv-FI" w:eastAsia="sv-FI" w:bidi="sv-FI"/>
                  </w:rPr>
                  <w:t>)</w:t>
                </w:r>
              </w:p>
            </w:txbxContent>
          </v:textbox>
          <w10:wrap anchorx="page" anchory="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92374" w14:textId="77777777" w:rsidR="00B22B9B" w:rsidRDefault="00E760E0">
    <w:pPr>
      <w:tabs>
        <w:tab w:val="left" w:pos="3630"/>
      </w:tabs>
      <w:spacing w:after="200"/>
      <w:ind w:left="-993" w:right="993"/>
      <w:rPr>
        <w:sz w:val="10"/>
      </w:rPr>
    </w:pPr>
    <w:r>
      <w:rPr>
        <w:sz w:val="10"/>
      </w:rPr>
      <w:t xml:space="preserve">                                                      _______________________________________________________________________________________________________________</w:t>
    </w:r>
  </w:p>
  <w:p w14:paraId="4961E292" w14:textId="77777777" w:rsidR="00B22B9B" w:rsidRDefault="00E760E0">
    <w:pPr>
      <w:tabs>
        <w:tab w:val="left" w:pos="3630"/>
      </w:tabs>
      <w:spacing w:after="200"/>
      <w:ind w:left="-567"/>
      <w:rPr>
        <w:sz w:val="14"/>
      </w:rPr>
    </w:pPr>
    <w:r>
      <w:rPr>
        <w:sz w:val="14"/>
      </w:rPr>
      <w:t xml:space="preserve">                                                             ÅLANDS MILJÖ- OCH HÄLSOSKYDDSMYNDIGHET</w:t>
    </w:r>
    <w:r>
      <w:rPr>
        <w:sz w:val="14"/>
      </w:rPr>
      <w:br/>
      <w:t xml:space="preserve">                                                                      Adress: </w:t>
    </w:r>
    <w:proofErr w:type="spellStart"/>
    <w:r>
      <w:rPr>
        <w:sz w:val="14"/>
      </w:rPr>
      <w:t>Norragatan</w:t>
    </w:r>
    <w:proofErr w:type="spellEnd"/>
    <w:r>
      <w:rPr>
        <w:sz w:val="14"/>
      </w:rPr>
      <w:t xml:space="preserve"> 17, AX-22100 Mariehamn</w:t>
    </w:r>
    <w:r>
      <w:rPr>
        <w:sz w:val="14"/>
      </w:rPr>
      <w:br/>
      <w:t xml:space="preserve">                                                                             </w:t>
    </w:r>
    <w:r>
      <w:rPr>
        <w:sz w:val="14"/>
        <w:lang w:val="de-DE" w:eastAsia="de-DE" w:bidi="de-DE"/>
      </w:rPr>
      <w:t>Tel: (0)18 528 600 Fax: (0)18 528 601</w:t>
    </w:r>
    <w:r>
      <w:rPr>
        <w:sz w:val="14"/>
        <w:lang w:val="de-DE" w:eastAsia="de-DE" w:bidi="de-DE"/>
      </w:rPr>
      <w:br/>
      <w:t xml:space="preserve">                                                                                      E-post: kansliet@amhm.ax</w:t>
    </w:r>
    <w:r>
      <w:rPr>
        <w:sz w:val="14"/>
        <w:lang w:val="de-DE" w:eastAsia="de-DE" w:bidi="de-DE"/>
      </w:rPr>
      <w:br/>
      <w:t xml:space="preserve">                                                                                                www.amhm.ax</w:t>
    </w:r>
  </w:p>
  <w:p w14:paraId="4B3DD52D" w14:textId="5A8B3E37" w:rsidR="00B22B9B" w:rsidRDefault="00B94A41">
    <w:pPr>
      <w:pStyle w:val="Sidfot"/>
      <w:tabs>
        <w:tab w:val="center" w:pos="4536"/>
        <w:tab w:val="right" w:pos="9072"/>
      </w:tabs>
    </w:pPr>
    <w:r>
      <w:rPr>
        <w:noProof/>
      </w:rPr>
      <w:pict w14:anchorId="5EC584F9">
        <v:rect id="Text Box 2" o:spid="_x0000_s1026" style="position:absolute;margin-left:510.2pt;margin-top:779.5pt;width:38.85pt;height:21.6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" o:allowincell="f" o:allowoverlap="f" stroked="f">
          <v:textbox>
            <w:txbxContent>
              <w:p w14:paraId="6E6DD862" w14:textId="77777777" w:rsidR="00B22B9B" w:rsidRDefault="00E760E0">
                <w:r>
                  <w:rPr>
                    <w:sz w:val="22"/>
                  </w:rPr>
                  <w:fldChar w:fldCharType="begin"/>
                </w:r>
                <w:r>
                  <w:rPr>
                    <w:sz w:val="22"/>
                  </w:rPr>
                  <w:instrText xml:space="preserve"> PAGE </w:instrText>
                </w:r>
                <w:r>
                  <w:rPr>
                    <w:sz w:val="22"/>
                  </w:rPr>
                  <w:fldChar w:fldCharType="separate"/>
                </w:r>
                <w:r>
                  <w:rPr>
                    <w:sz w:val="22"/>
                  </w:rPr>
                  <w:t>#</w:t>
                </w:r>
                <w:r>
                  <w:rPr>
                    <w:rFonts w:ascii="Calibri" w:hAnsi="Calibri"/>
                  </w:rPr>
                  <w:fldChar w:fldCharType="end"/>
                </w:r>
                <w:r>
                  <w:rPr>
                    <w:sz w:val="22"/>
                    <w:lang w:val="sv-FI" w:eastAsia="sv-FI" w:bidi="sv-FI"/>
                  </w:rPr>
                  <w:t>(</w:t>
                </w:r>
                <w:r>
                  <w:rPr>
                    <w:sz w:val="22"/>
                    <w:lang w:val="sv-FI" w:eastAsia="sv-FI" w:bidi="sv-FI"/>
                  </w:rPr>
                  <w:fldChar w:fldCharType="begin"/>
                </w:r>
                <w:r>
                  <w:rPr>
                    <w:sz w:val="22"/>
                    <w:lang w:val="sv-FI" w:eastAsia="sv-FI" w:bidi="sv-FI"/>
                  </w:rPr>
                  <w:instrText xml:space="preserve"> NUMPAGES </w:instrText>
                </w:r>
                <w:r>
                  <w:rPr>
                    <w:sz w:val="22"/>
                    <w:lang w:val="sv-FI" w:eastAsia="sv-FI" w:bidi="sv-FI"/>
                  </w:rPr>
                  <w:fldChar w:fldCharType="separate"/>
                </w:r>
                <w:r>
                  <w:rPr>
                    <w:sz w:val="22"/>
                    <w:lang w:val="sv-FI" w:eastAsia="sv-FI" w:bidi="sv-FI"/>
                  </w:rPr>
                  <w:t>#</w:t>
                </w:r>
                <w:r>
                  <w:rPr>
                    <w:rFonts w:ascii="Calibri" w:hAnsi="Calibri"/>
                  </w:rPr>
                  <w:fldChar w:fldCharType="end"/>
                </w:r>
                <w:r>
                  <w:rPr>
                    <w:sz w:val="22"/>
                    <w:lang w:val="sv-FI" w:eastAsia="sv-FI" w:bidi="sv-FI"/>
                  </w:rPr>
                  <w:t>)</w:t>
                </w:r>
              </w:p>
            </w:txbxContent>
          </v:textbox>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D2523" w14:textId="77777777" w:rsidR="00D2488C" w:rsidRDefault="00E760E0">
      <w:r>
        <w:separator/>
      </w:r>
    </w:p>
  </w:footnote>
  <w:footnote w:type="continuationSeparator" w:id="0">
    <w:p w14:paraId="56BB23E0" w14:textId="77777777" w:rsidR="00D2488C" w:rsidRDefault="00E7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13953" w14:textId="550ED9AF" w:rsidR="00B22B9B" w:rsidRDefault="003F408F">
    <w:pPr>
      <w:pStyle w:val="Sidhuvud"/>
      <w:tabs>
        <w:tab w:val="center" w:pos="4536"/>
        <w:tab w:val="right" w:pos="9072"/>
      </w:tabs>
      <w:ind w:left="-709" w:hanging="1115"/>
    </w:pPr>
    <w:r>
      <w:rPr>
        <w:noProof/>
      </w:rPr>
      <w:drawing>
        <wp:anchor distT="0" distB="0" distL="114300" distR="114300" simplePos="0" relativeHeight="251659776" behindDoc="1" locked="0" layoutInCell="1" allowOverlap="1" wp14:anchorId="2B566CCF" wp14:editId="793393A2">
          <wp:simplePos x="0" y="0"/>
          <wp:positionH relativeFrom="column">
            <wp:posOffset>-1153795</wp:posOffset>
          </wp:positionH>
          <wp:positionV relativeFrom="paragraph">
            <wp:posOffset>3175</wp:posOffset>
          </wp:positionV>
          <wp:extent cx="1000125" cy="1371600"/>
          <wp:effectExtent l="0" t="0" r="0" b="0"/>
          <wp:wrapTight wrapText="bothSides">
            <wp:wrapPolygon edited="0">
              <wp:start x="0" y="0"/>
              <wp:lineTo x="0" y="21300"/>
              <wp:lineTo x="21394" y="21300"/>
              <wp:lineTo x="21394" y="0"/>
              <wp:lineTo x="0" y="0"/>
            </wp:wrapPolygon>
          </wp:wrapTight>
          <wp:docPr id="3"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1371600"/>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nkeltabell1"/>
      <w:tblW w:w="0" w:type="auto"/>
      <w:tblInd w:w="-171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824"/>
      <w:gridCol w:w="3696"/>
      <w:gridCol w:w="3696"/>
      <w:gridCol w:w="1876"/>
    </w:tblGrid>
    <w:tr w:rsidR="00B22B9B" w14:paraId="35DF918D" w14:textId="77777777">
      <w:tc>
        <w:tcPr>
          <w:tcW w:w="1824" w:type="dxa"/>
          <w:tcBorders>
            <w:top w:val="none" w:sz="0" w:space="0" w:color="000000"/>
            <w:left w:val="none" w:sz="0" w:space="0" w:color="000000"/>
            <w:bottom w:val="none" w:sz="0" w:space="0" w:color="000000"/>
            <w:right w:val="none" w:sz="0" w:space="0" w:color="000000"/>
          </w:tcBorders>
          <w:tcMar>
            <w:left w:w="108" w:type="dxa"/>
            <w:right w:w="108" w:type="dxa"/>
          </w:tcMar>
        </w:tcPr>
        <w:p w14:paraId="5921E629" w14:textId="77777777" w:rsidR="00B22B9B" w:rsidRDefault="00E760E0">
          <w:pPr>
            <w:pStyle w:val="Sidhuvud"/>
            <w:ind w:left="-105" w:right="-115"/>
          </w:pPr>
          <w:r>
            <w:rPr>
              <w:rFonts w:ascii="Calibri" w:hAnsi="Calibri"/>
              <w:noProof/>
            </w:rPr>
            <w:drawing>
              <wp:anchor distT="0" distB="0" distL="114300" distR="114300" simplePos="0" relativeHeight="251658752" behindDoc="0" locked="0" layoutInCell="1" allowOverlap="1" wp14:anchorId="14C4DEFD" wp14:editId="5FAB44CF">
                <wp:simplePos x="0" y="0"/>
                <wp:positionH relativeFrom="column">
                  <wp:posOffset>-1331595</wp:posOffset>
                </wp:positionH>
                <wp:positionV relativeFrom="paragraph">
                  <wp:posOffset>-103505</wp:posOffset>
                </wp:positionV>
                <wp:extent cx="1002030" cy="1367790"/>
                <wp:effectExtent l="0" t="0" r="0" b="0"/>
                <wp:wrapThrough wrapText="bothSides">
                  <wp:wrapPolygon edited="0">
                    <wp:start x="0" y="0"/>
                    <wp:lineTo x="0" y="21600"/>
                    <wp:lineTo x="21600" y="21600"/>
                    <wp:lineTo x="21600" y="0"/>
                    <wp:lineTo x="0" y="0"/>
                  </wp:wrapPolygon>
                </wp:wrapThrough>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002030" cy="1367790"/>
                        </a:xfrm>
                        <a:prstGeom prst="rect">
                          <a:avLst/>
                        </a:prstGeom>
                      </pic:spPr>
                    </pic:pic>
                  </a:graphicData>
                </a:graphic>
                <wp14:sizeRelH relativeFrom="page">
                  <wp14:pctWidth>0</wp14:pctWidth>
                </wp14:sizeRelH>
                <wp14:sizeRelV relativeFrom="page">
                  <wp14:pctHeight>0</wp14:pctHeight>
                </wp14:sizeRelV>
              </wp:anchor>
            </w:drawing>
          </w:r>
        </w:p>
      </w:tc>
      <w:tc>
        <w:tcPr>
          <w:tcW w:w="3696" w:type="dxa"/>
          <w:tcBorders>
            <w:top w:val="none" w:sz="0" w:space="0" w:color="000000"/>
            <w:left w:val="none" w:sz="0" w:space="0" w:color="000000"/>
            <w:bottom w:val="none" w:sz="0" w:space="0" w:color="000000"/>
            <w:right w:val="none" w:sz="0" w:space="0" w:color="000000"/>
          </w:tcBorders>
          <w:tcMar>
            <w:left w:w="108" w:type="dxa"/>
            <w:right w:w="108" w:type="dxa"/>
          </w:tcMar>
        </w:tcPr>
        <w:p w14:paraId="0487A41D" w14:textId="77777777" w:rsidR="00B22B9B" w:rsidRDefault="00B22B9B">
          <w:pPr>
            <w:pStyle w:val="Sidhuvud"/>
            <w:tabs>
              <w:tab w:val="center" w:pos="4536"/>
              <w:tab w:val="right" w:pos="9072"/>
            </w:tabs>
            <w:rPr>
              <w:sz w:val="20"/>
            </w:rPr>
          </w:pPr>
        </w:p>
      </w:tc>
      <w:tc>
        <w:tcPr>
          <w:tcW w:w="3696" w:type="dxa"/>
          <w:tcBorders>
            <w:top w:val="none" w:sz="0" w:space="0" w:color="000000"/>
            <w:left w:val="none" w:sz="0" w:space="0" w:color="000000"/>
            <w:bottom w:val="none" w:sz="0" w:space="0" w:color="000000"/>
            <w:right w:val="none" w:sz="0" w:space="0" w:color="000000"/>
          </w:tcBorders>
          <w:tcMar>
            <w:left w:w="108" w:type="dxa"/>
            <w:right w:w="108" w:type="dxa"/>
          </w:tcMar>
        </w:tcPr>
        <w:p w14:paraId="62AFB19E" w14:textId="77777777" w:rsidR="00B22B9B" w:rsidRDefault="00E760E0">
          <w:pPr>
            <w:pStyle w:val="Sidhuvud"/>
            <w:tabs>
              <w:tab w:val="center" w:pos="4536"/>
              <w:tab w:val="right" w:pos="9072"/>
            </w:tabs>
            <w:rPr>
              <w:b/>
              <w:lang w:val="sv-FI" w:eastAsia="sv-FI" w:bidi="sv-FI"/>
            </w:rPr>
          </w:pPr>
          <w:r>
            <w:rPr>
              <w:b/>
              <w:lang w:val="sv-FI" w:eastAsia="sv-FI" w:bidi="sv-FI"/>
            </w:rPr>
            <w:t>MILJÖTILLSTÅND</w:t>
          </w:r>
        </w:p>
        <w:p w14:paraId="093DE660" w14:textId="77777777" w:rsidR="00B22B9B" w:rsidRDefault="00E760E0">
          <w:pPr>
            <w:pStyle w:val="Sidhuvud"/>
            <w:tabs>
              <w:tab w:val="center" w:pos="4536"/>
              <w:tab w:val="right" w:pos="9072"/>
            </w:tabs>
            <w:rPr>
              <w:rFonts w:ascii="Calibri" w:hAnsi="Calibri"/>
              <w:lang w:val="sv-FI" w:eastAsia="sv-FI" w:bidi="sv-FI"/>
            </w:rPr>
          </w:pPr>
          <w:r>
            <w:rPr>
              <w:lang w:val="sv-FI" w:eastAsia="sv-FI" w:bidi="sv-FI"/>
            </w:rPr>
            <w:t>Ärende: 2020-703</w:t>
          </w:r>
        </w:p>
        <w:p w14:paraId="26BB9A89" w14:textId="39E06B9A" w:rsidR="00B22B9B" w:rsidRDefault="00E760E0">
          <w:pPr>
            <w:pStyle w:val="Sidhuvud"/>
            <w:tabs>
              <w:tab w:val="center" w:pos="4536"/>
              <w:tab w:val="right" w:pos="9072"/>
            </w:tabs>
            <w:rPr>
              <w:rFonts w:ascii="Calibri" w:hAnsi="Calibri"/>
              <w:lang w:val="sv-FI" w:eastAsia="sv-FI" w:bidi="sv-FI"/>
            </w:rPr>
          </w:pPr>
          <w:r>
            <w:rPr>
              <w:lang w:val="sv-FI" w:eastAsia="sv-FI" w:bidi="sv-FI"/>
            </w:rPr>
            <w:t xml:space="preserve">Beslut: </w:t>
          </w:r>
          <w:r w:rsidR="00B94A41">
            <w:rPr>
              <w:lang w:val="sv-FI" w:eastAsia="sv-FI" w:bidi="sv-FI"/>
            </w:rPr>
            <w:t xml:space="preserve"> ÅMH-</w:t>
          </w:r>
          <w:proofErr w:type="spellStart"/>
          <w:r w:rsidR="00B94A41">
            <w:rPr>
              <w:lang w:val="sv-FI" w:eastAsia="sv-FI" w:bidi="sv-FI"/>
            </w:rPr>
            <w:t>Pn</w:t>
          </w:r>
          <w:proofErr w:type="spellEnd"/>
          <w:r w:rsidR="00B94A41">
            <w:rPr>
              <w:lang w:val="sv-FI" w:eastAsia="sv-FI" w:bidi="sv-FI"/>
            </w:rPr>
            <w:t xml:space="preserve"> 4/21</w:t>
          </w:r>
        </w:p>
        <w:p w14:paraId="06245350" w14:textId="77777777" w:rsidR="00B22B9B" w:rsidRDefault="00E760E0">
          <w:pPr>
            <w:pStyle w:val="Sidhuvud"/>
            <w:tabs>
              <w:tab w:val="center" w:pos="4536"/>
              <w:tab w:val="right" w:pos="9072"/>
            </w:tabs>
            <w:rPr>
              <w:lang w:val="sv-FI" w:eastAsia="sv-FI" w:bidi="sv-FI"/>
            </w:rPr>
          </w:pPr>
          <w:r>
            <w:rPr>
              <w:lang w:val="sv-FI" w:eastAsia="sv-FI" w:bidi="sv-FI"/>
            </w:rPr>
            <w:t>Instans: Prövningsnämnden</w:t>
          </w:r>
        </w:p>
        <w:p w14:paraId="3A9CD9DD" w14:textId="77777777" w:rsidR="00B22B9B" w:rsidRDefault="00B22B9B">
          <w:pPr>
            <w:pStyle w:val="Sidhuvud"/>
            <w:tabs>
              <w:tab w:val="center" w:pos="4536"/>
              <w:tab w:val="right" w:pos="9072"/>
            </w:tabs>
            <w:rPr>
              <w:lang w:val="sv-FI" w:eastAsia="sv-FI" w:bidi="sv-FI"/>
            </w:rPr>
          </w:pPr>
        </w:p>
        <w:p w14:paraId="2E5EB6CC" w14:textId="77777777" w:rsidR="00B22B9B" w:rsidRDefault="00B22B9B">
          <w:pPr>
            <w:pStyle w:val="Sidhuvud"/>
            <w:tabs>
              <w:tab w:val="center" w:pos="4536"/>
              <w:tab w:val="right" w:pos="9072"/>
            </w:tabs>
            <w:rPr>
              <w:lang w:val="sv-FI" w:eastAsia="sv-FI" w:bidi="sv-FI"/>
            </w:rPr>
          </w:pPr>
        </w:p>
        <w:p w14:paraId="02977CD7" w14:textId="77777777" w:rsidR="00B22B9B" w:rsidRDefault="00E760E0">
          <w:pPr>
            <w:pStyle w:val="Sidhuvud"/>
            <w:tabs>
              <w:tab w:val="center" w:pos="4536"/>
              <w:tab w:val="right" w:pos="9072"/>
            </w:tabs>
            <w:rPr>
              <w:lang w:val="sv-FI" w:eastAsia="sv-FI" w:bidi="sv-FI"/>
            </w:rPr>
          </w:pPr>
          <w:r>
            <w:rPr>
              <w:lang w:val="sv-FI" w:eastAsia="sv-FI" w:bidi="sv-FI"/>
            </w:rPr>
            <w:t>Ålands landskapsregering</w:t>
          </w:r>
        </w:p>
        <w:p w14:paraId="089CF796" w14:textId="77777777" w:rsidR="00B22B9B" w:rsidRDefault="00E760E0">
          <w:pPr>
            <w:pStyle w:val="Sidhuvud"/>
            <w:tabs>
              <w:tab w:val="center" w:pos="4536"/>
              <w:tab w:val="right" w:pos="9072"/>
            </w:tabs>
            <w:rPr>
              <w:lang w:val="sv-FI" w:eastAsia="sv-FI" w:bidi="sv-FI"/>
            </w:rPr>
          </w:pPr>
          <w:r>
            <w:rPr>
              <w:lang w:val="sv-FI" w:eastAsia="sv-FI" w:bidi="sv-FI"/>
            </w:rPr>
            <w:t xml:space="preserve">Att: </w:t>
          </w:r>
        </w:p>
        <w:p w14:paraId="08D2E0CF" w14:textId="77777777" w:rsidR="00B22B9B" w:rsidRDefault="00E760E0">
          <w:pPr>
            <w:pStyle w:val="Sidhuvud"/>
            <w:tabs>
              <w:tab w:val="center" w:pos="4536"/>
              <w:tab w:val="right" w:pos="9072"/>
            </w:tabs>
            <w:rPr>
              <w:lang w:val="sv-FI" w:eastAsia="sv-FI" w:bidi="sv-FI"/>
            </w:rPr>
          </w:pPr>
          <w:proofErr w:type="spellStart"/>
          <w:r>
            <w:rPr>
              <w:lang w:val="sv-FI" w:eastAsia="sv-FI" w:bidi="sv-FI"/>
            </w:rPr>
            <w:t>Pb</w:t>
          </w:r>
          <w:proofErr w:type="spellEnd"/>
          <w:r>
            <w:rPr>
              <w:lang w:val="sv-FI" w:eastAsia="sv-FI" w:bidi="sv-FI"/>
            </w:rPr>
            <w:t xml:space="preserve"> 1060</w:t>
          </w:r>
        </w:p>
        <w:p w14:paraId="1D0708DC" w14:textId="77777777" w:rsidR="00B22B9B" w:rsidRDefault="00E760E0">
          <w:pPr>
            <w:pStyle w:val="Sidhuvud"/>
            <w:tabs>
              <w:tab w:val="center" w:pos="4536"/>
              <w:tab w:val="right" w:pos="9072"/>
            </w:tabs>
          </w:pPr>
          <w:r>
            <w:rPr>
              <w:lang w:val="sv-FI" w:eastAsia="sv-FI" w:bidi="sv-FI"/>
            </w:rPr>
            <w:t>22111 Mariehamn</w:t>
          </w:r>
        </w:p>
      </w:tc>
      <w:tc>
        <w:tcPr>
          <w:tcW w:w="1876" w:type="dxa"/>
          <w:tcBorders>
            <w:top w:val="none" w:sz="0" w:space="0" w:color="000000"/>
            <w:left w:val="none" w:sz="0" w:space="0" w:color="000000"/>
            <w:bottom w:val="none" w:sz="0" w:space="0" w:color="000000"/>
            <w:right w:val="none" w:sz="0" w:space="0" w:color="000000"/>
          </w:tcBorders>
          <w:tcMar>
            <w:left w:w="108" w:type="dxa"/>
            <w:right w:w="108" w:type="dxa"/>
          </w:tcMar>
        </w:tcPr>
        <w:p w14:paraId="31EB95D3" w14:textId="1F4D250C" w:rsidR="00B22B9B" w:rsidRDefault="00367E4D">
          <w:pPr>
            <w:pStyle w:val="Sidhuvud"/>
            <w:tabs>
              <w:tab w:val="center" w:pos="4536"/>
              <w:tab w:val="right" w:pos="9072"/>
            </w:tabs>
          </w:pPr>
          <w:r>
            <w:t>17</w:t>
          </w:r>
          <w:r w:rsidR="00E760E0">
            <w:t>.2.2021</w:t>
          </w:r>
        </w:p>
      </w:tc>
    </w:tr>
  </w:tbl>
  <w:p w14:paraId="5CDF9627" w14:textId="77777777" w:rsidR="00B22B9B" w:rsidRDefault="00B22B9B">
    <w:pPr>
      <w:pStyle w:val="Sidhuvud"/>
      <w:tabs>
        <w:tab w:val="center" w:pos="4536"/>
        <w:tab w:val="right" w:pos="9072"/>
      </w:tabs>
    </w:pPr>
  </w:p>
  <w:p w14:paraId="08903E66" w14:textId="77777777" w:rsidR="00B22B9B" w:rsidRDefault="00B22B9B">
    <w:pPr>
      <w:pStyle w:val="Sidhuvud"/>
      <w:tabs>
        <w:tab w:val="center" w:pos="4536"/>
        <w:tab w:val="right" w:pos="9072"/>
      </w:tabs>
      <w:ind w:left="-2552"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D064F"/>
    <w:multiLevelType w:val="hybridMultilevel"/>
    <w:tmpl w:val="C8CCBF5E"/>
    <w:lvl w:ilvl="0" w:tplc="A8D46424">
      <w:start w:val="1"/>
      <w:numFmt w:val="decimal"/>
      <w:lvlText w:val="%1."/>
      <w:lvlJc w:val="left"/>
      <w:pPr>
        <w:spacing w:after="0"/>
        <w:ind w:left="397" w:hanging="397"/>
      </w:pPr>
      <w:rPr>
        <w:noProof w:val="0"/>
        <w:lang w:val="sv-SE" w:eastAsia="sv-SE" w:bidi="sv-SE"/>
      </w:rPr>
    </w:lvl>
    <w:lvl w:ilvl="1" w:tplc="A8D46424">
      <w:start w:val="1"/>
      <w:numFmt w:val="decimal"/>
      <w:lvlText w:val="%2."/>
      <w:lvlJc w:val="left"/>
      <w:pPr>
        <w:spacing w:after="0"/>
        <w:ind w:left="397" w:hanging="397"/>
      </w:pPr>
      <w:rPr>
        <w:noProof w:val="0"/>
        <w:lang w:val="sv-SE" w:eastAsia="sv-SE" w:bidi="sv-SE"/>
      </w:rPr>
    </w:lvl>
    <w:lvl w:ilvl="2" w:tplc="041D001B">
      <w:start w:val="1"/>
      <w:numFmt w:val="lowerRoman"/>
      <w:lvlText w:val="%3."/>
      <w:lvlJc w:val="right"/>
      <w:pPr>
        <w:spacing w:after="0"/>
        <w:ind w:left="2160" w:hanging="180"/>
      </w:pPr>
      <w:rPr>
        <w:noProof w:val="0"/>
        <w:lang w:val="sv-SE" w:eastAsia="sv-SE" w:bidi="sv-SE"/>
      </w:rPr>
    </w:lvl>
    <w:lvl w:ilvl="3" w:tplc="041D000F">
      <w:start w:val="1"/>
      <w:numFmt w:val="decimal"/>
      <w:lvlText w:val="%4."/>
      <w:lvlJc w:val="left"/>
      <w:pPr>
        <w:spacing w:after="0"/>
        <w:ind w:left="2880" w:hanging="360"/>
      </w:pPr>
      <w:rPr>
        <w:noProof w:val="0"/>
        <w:lang w:val="sv-SE" w:eastAsia="sv-SE" w:bidi="sv-SE"/>
      </w:rPr>
    </w:lvl>
    <w:lvl w:ilvl="4" w:tplc="041D0019">
      <w:start w:val="1"/>
      <w:numFmt w:val="lowerLetter"/>
      <w:lvlText w:val="%5."/>
      <w:lvlJc w:val="left"/>
      <w:pPr>
        <w:spacing w:after="0"/>
        <w:ind w:left="3600" w:hanging="360"/>
      </w:pPr>
      <w:rPr>
        <w:noProof w:val="0"/>
        <w:lang w:val="sv-SE" w:eastAsia="sv-SE" w:bidi="sv-SE"/>
      </w:rPr>
    </w:lvl>
    <w:lvl w:ilvl="5" w:tplc="041D001B">
      <w:start w:val="1"/>
      <w:numFmt w:val="lowerRoman"/>
      <w:lvlText w:val="%6."/>
      <w:lvlJc w:val="right"/>
      <w:pPr>
        <w:spacing w:after="0"/>
        <w:ind w:left="4320" w:hanging="180"/>
      </w:pPr>
      <w:rPr>
        <w:noProof w:val="0"/>
        <w:lang w:val="sv-SE" w:eastAsia="sv-SE" w:bidi="sv-SE"/>
      </w:rPr>
    </w:lvl>
    <w:lvl w:ilvl="6" w:tplc="041D000F">
      <w:start w:val="1"/>
      <w:numFmt w:val="decimal"/>
      <w:lvlText w:val="%7."/>
      <w:lvlJc w:val="left"/>
      <w:pPr>
        <w:spacing w:after="0"/>
        <w:ind w:left="5040" w:hanging="360"/>
      </w:pPr>
      <w:rPr>
        <w:noProof w:val="0"/>
        <w:lang w:val="sv-SE" w:eastAsia="sv-SE" w:bidi="sv-SE"/>
      </w:rPr>
    </w:lvl>
    <w:lvl w:ilvl="7" w:tplc="041D0019">
      <w:start w:val="1"/>
      <w:numFmt w:val="lowerLetter"/>
      <w:lvlText w:val="%8."/>
      <w:lvlJc w:val="left"/>
      <w:pPr>
        <w:spacing w:after="0"/>
        <w:ind w:left="5760" w:hanging="360"/>
      </w:pPr>
      <w:rPr>
        <w:noProof w:val="0"/>
        <w:lang w:val="sv-SE" w:eastAsia="sv-SE" w:bidi="sv-SE"/>
      </w:rPr>
    </w:lvl>
    <w:lvl w:ilvl="8" w:tplc="041D001B">
      <w:start w:val="1"/>
      <w:numFmt w:val="lowerRoman"/>
      <w:lvlText w:val="%9."/>
      <w:lvlJc w:val="right"/>
      <w:pPr>
        <w:spacing w:after="0"/>
        <w:ind w:left="6480" w:hanging="180"/>
      </w:pPr>
      <w:rPr>
        <w:noProof w:val="0"/>
        <w:lang w:val="sv-SE" w:eastAsia="sv-SE" w:bidi="sv-SE"/>
      </w:rPr>
    </w:lvl>
  </w:abstractNum>
  <w:abstractNum w:abstractNumId="1" w15:restartNumberingAfterBreak="0">
    <w:nsid w:val="7A88142F"/>
    <w:multiLevelType w:val="hybridMultilevel"/>
    <w:tmpl w:val="8FD2F6F6"/>
    <w:lvl w:ilvl="0" w:tplc="6849E6A4">
      <w:start w:val="1"/>
      <w:numFmt w:val="decimal"/>
      <w:lvlText w:val="%1."/>
      <w:lvlJc w:val="left"/>
      <w:pPr>
        <w:spacing w:after="0"/>
        <w:ind w:left="720" w:hanging="652"/>
      </w:pPr>
      <w:rPr>
        <w:noProof w:val="0"/>
        <w:lang w:val="sv-SE" w:eastAsia="sv-SE" w:bidi="sv-SE"/>
      </w:rPr>
    </w:lvl>
    <w:lvl w:ilvl="1" w:tplc="63CF05D4">
      <w:start w:val="1"/>
      <w:numFmt w:val="decimal"/>
      <w:lvlText w:val="%2."/>
      <w:lvlJc w:val="left"/>
      <w:pPr>
        <w:spacing w:after="0"/>
        <w:ind w:left="1440" w:hanging="652"/>
      </w:pPr>
      <w:rPr>
        <w:noProof w:val="0"/>
        <w:lang w:val="sv-SE" w:eastAsia="sv-SE" w:bidi="sv-SE"/>
      </w:rPr>
    </w:lvl>
    <w:lvl w:ilvl="2" w:tplc="69170B54">
      <w:start w:val="1"/>
      <w:numFmt w:val="decimal"/>
      <w:lvlText w:val="%3."/>
      <w:lvlJc w:val="left"/>
      <w:pPr>
        <w:spacing w:after="0"/>
        <w:ind w:left="2160" w:hanging="652"/>
      </w:pPr>
      <w:rPr>
        <w:noProof w:val="0"/>
        <w:lang w:val="sv-SE" w:eastAsia="sv-SE" w:bidi="sv-SE"/>
      </w:rPr>
    </w:lvl>
    <w:lvl w:ilvl="3" w:tplc="5EE84B65">
      <w:start w:val="1"/>
      <w:numFmt w:val="decimal"/>
      <w:lvlText w:val="%4."/>
      <w:lvlJc w:val="left"/>
      <w:pPr>
        <w:spacing w:after="0"/>
        <w:ind w:left="2880" w:hanging="652"/>
      </w:pPr>
      <w:rPr>
        <w:noProof w:val="0"/>
        <w:lang w:val="sv-SE" w:eastAsia="sv-SE" w:bidi="sv-SE"/>
      </w:rPr>
    </w:lvl>
    <w:lvl w:ilvl="4" w:tplc="72F1E7AD">
      <w:start w:val="1"/>
      <w:numFmt w:val="decimal"/>
      <w:lvlText w:val="%5."/>
      <w:lvlJc w:val="left"/>
      <w:pPr>
        <w:spacing w:after="0"/>
        <w:ind w:left="3600" w:hanging="652"/>
      </w:pPr>
      <w:rPr>
        <w:noProof w:val="0"/>
        <w:lang w:val="sv-SE" w:eastAsia="sv-SE" w:bidi="sv-SE"/>
      </w:rPr>
    </w:lvl>
    <w:lvl w:ilvl="5" w:tplc="3F3D54F3">
      <w:start w:val="1"/>
      <w:numFmt w:val="decimal"/>
      <w:lvlText w:val="%6."/>
      <w:lvlJc w:val="left"/>
      <w:pPr>
        <w:spacing w:after="0"/>
        <w:ind w:left="4320" w:hanging="652"/>
      </w:pPr>
      <w:rPr>
        <w:noProof w:val="0"/>
        <w:lang w:val="sv-SE" w:eastAsia="sv-SE" w:bidi="sv-SE"/>
      </w:rPr>
    </w:lvl>
    <w:lvl w:ilvl="6" w:tplc="25544C6A">
      <w:start w:val="1"/>
      <w:numFmt w:val="decimal"/>
      <w:lvlText w:val="%7."/>
      <w:lvlJc w:val="left"/>
      <w:pPr>
        <w:spacing w:after="0"/>
        <w:ind w:left="5040" w:hanging="652"/>
      </w:pPr>
      <w:rPr>
        <w:noProof w:val="0"/>
        <w:lang w:val="sv-SE" w:eastAsia="sv-SE" w:bidi="sv-SE"/>
      </w:rPr>
    </w:lvl>
    <w:lvl w:ilvl="7" w:tplc="3F0E86AE">
      <w:start w:val="1"/>
      <w:numFmt w:val="decimal"/>
      <w:lvlText w:val="%8."/>
      <w:lvlJc w:val="left"/>
      <w:pPr>
        <w:spacing w:after="0"/>
        <w:ind w:left="5760" w:hanging="652"/>
      </w:pPr>
      <w:rPr>
        <w:noProof w:val="0"/>
        <w:lang w:val="sv-SE" w:eastAsia="sv-SE" w:bidi="sv-SE"/>
      </w:rPr>
    </w:lvl>
    <w:lvl w:ilvl="8" w:tplc="335BC75A">
      <w:start w:val="1"/>
      <w:numFmt w:val="decimal"/>
      <w:lvlText w:val="%9."/>
      <w:lvlJc w:val="left"/>
      <w:pPr>
        <w:spacing w:after="0"/>
        <w:ind w:left="6480" w:hanging="652"/>
      </w:pPr>
      <w:rPr>
        <w:noProof w:val="0"/>
        <w:lang w:val="sv-SE" w:eastAsia="sv-SE" w:bidi="sv-S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2B9B"/>
    <w:rsid w:val="002B7740"/>
    <w:rsid w:val="00367E4D"/>
    <w:rsid w:val="003F408F"/>
    <w:rsid w:val="00405A7D"/>
    <w:rsid w:val="004A0229"/>
    <w:rsid w:val="0065138B"/>
    <w:rsid w:val="00A861BE"/>
    <w:rsid w:val="00B22B9B"/>
    <w:rsid w:val="00B94A41"/>
    <w:rsid w:val="00D2488C"/>
    <w:rsid w:val="00DB491F"/>
    <w:rsid w:val="00E760E0"/>
    <w:rsid w:val="00EF1673"/>
    <w:rsid w:val="00FB118F"/>
    <w:rsid w:val="00FC7D9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DFC9"/>
  <w15:docId w15:val="{6EBB057F-1C66-461A-B5EF-680BB0EA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sz w:val="22"/>
        <w:lang w:val="sv-SE" w:eastAsia="sv-SE" w:bidi="sv-SE"/>
      </w:rPr>
    </w:rPrDefault>
    <w:pPrDefault>
      <w:pPr>
        <w:pBdr>
          <w:top w:val="none" w:sz="0" w:space="0" w:color="000000"/>
          <w:left w:val="none" w:sz="0" w:space="0" w:color="000000"/>
          <w:bottom w:val="none" w:sz="0" w:space="0" w:color="000000"/>
          <w:right w:val="none" w:sz="0" w:space="0" w:color="000000"/>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sz w:val="24"/>
    </w:rPr>
  </w:style>
  <w:style w:type="paragraph" w:styleId="Rubrik1">
    <w:name w:val="heading 1"/>
    <w:basedOn w:val="Normal"/>
    <w:next w:val="Normal"/>
    <w:link w:val="Rubrik1Char"/>
    <w:uiPriority w:val="9"/>
    <w:qFormat/>
    <w:pPr>
      <w:spacing w:before="360" w:after="120"/>
      <w:outlineLvl w:val="0"/>
    </w:pPr>
    <w:rPr>
      <w:b/>
      <w:sz w:val="28"/>
    </w:rPr>
  </w:style>
  <w:style w:type="paragraph" w:styleId="Rubrik2">
    <w:name w:val="heading 2"/>
    <w:basedOn w:val="Normal"/>
    <w:next w:val="Normal"/>
    <w:link w:val="Rubrik2Char"/>
    <w:uiPriority w:val="9"/>
    <w:unhideWhenUsed/>
    <w:qFormat/>
    <w:pPr>
      <w:spacing w:before="360" w:after="120"/>
      <w:outlineLvl w:val="1"/>
    </w:pPr>
    <w:rPr>
      <w:b/>
    </w:rPr>
  </w:style>
  <w:style w:type="paragraph" w:styleId="Rubrik3">
    <w:name w:val="heading 3"/>
    <w:basedOn w:val="Normal"/>
    <w:next w:val="Normal"/>
    <w:link w:val="Rubrik3Char"/>
    <w:uiPriority w:val="9"/>
    <w:unhideWhenUsed/>
    <w:qFormat/>
    <w:pPr>
      <w:spacing w:before="240"/>
      <w:outlineLvl w:val="2"/>
    </w:pPr>
    <w:rPr>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basedOn w:val="Normal"/>
  </w:style>
  <w:style w:type="paragraph" w:styleId="Liststycke">
    <w:name w:val="List Paragraph"/>
    <w:basedOn w:val="Normal"/>
    <w:next w:val="Ingetavstnd"/>
    <w:pPr>
      <w:contextualSpacing/>
    </w:pPr>
  </w:style>
  <w:style w:type="paragraph" w:styleId="Ballongtext">
    <w:name w:val="Balloon Text"/>
    <w:basedOn w:val="Normal"/>
    <w:link w:val="BallongtextChar"/>
    <w:rPr>
      <w:rFonts w:ascii="Tahoma" w:hAnsi="Tahoma"/>
      <w:sz w:val="16"/>
    </w:rPr>
  </w:style>
  <w:style w:type="paragraph" w:styleId="Sidfot">
    <w:name w:val="footer"/>
    <w:basedOn w:val="Normal"/>
    <w:link w:val="SidfotChar"/>
  </w:style>
  <w:style w:type="paragraph" w:styleId="Sidhuvud">
    <w:name w:val="header"/>
    <w:basedOn w:val="Normal"/>
    <w:link w:val="SidhuvudChar"/>
  </w:style>
  <w:style w:type="paragraph" w:customStyle="1" w:styleId="Rubrik30">
    <w:name w:val="Rubrik3"/>
    <w:basedOn w:val="Normal"/>
    <w:pPr>
      <w:spacing w:before="240" w:after="60"/>
    </w:pPr>
    <w:rPr>
      <w:u w:val="single"/>
    </w:rPr>
  </w:style>
  <w:style w:type="character" w:styleId="Radnummer">
    <w:name w:val="line number"/>
    <w:basedOn w:val="Standardstycketeckensnitt"/>
    <w:semiHidden/>
  </w:style>
  <w:style w:type="character" w:styleId="Hyperlnk">
    <w:name w:val="Hyperlink"/>
    <w:basedOn w:val="Standardstycketeckensnitt"/>
    <w:rPr>
      <w:color w:val="0000FF"/>
      <w:u w:val="single"/>
    </w:rPr>
  </w:style>
  <w:style w:type="character" w:customStyle="1" w:styleId="SidhuvudChar">
    <w:name w:val="Sidhuvud Char"/>
    <w:basedOn w:val="Standardstycketeckensnitt"/>
    <w:link w:val="Sidhuvud"/>
  </w:style>
  <w:style w:type="character" w:customStyle="1" w:styleId="SidfotChar">
    <w:name w:val="Sidfot Char"/>
    <w:basedOn w:val="Standardstycketeckensnitt"/>
    <w:link w:val="Sidfot"/>
  </w:style>
  <w:style w:type="character" w:customStyle="1" w:styleId="BallongtextChar">
    <w:name w:val="Ballongtext Char"/>
    <w:basedOn w:val="Standardstycketeckensnitt"/>
    <w:link w:val="Ballongtext"/>
    <w:rPr>
      <w:rFonts w:ascii="Tahoma" w:hAnsi="Tahoma"/>
      <w:sz w:val="16"/>
    </w:rPr>
  </w:style>
  <w:style w:type="character" w:styleId="Diskretbetoning">
    <w:name w:val="Subtle Emphasis"/>
    <w:basedOn w:val="Standardstycketeckensnitt"/>
    <w:rPr>
      <w:i/>
      <w:color w:val="808080"/>
    </w:rPr>
  </w:style>
  <w:style w:type="character" w:customStyle="1" w:styleId="Rubrik1Char">
    <w:name w:val="Rubrik 1 Char"/>
    <w:basedOn w:val="Standardstycketeckensnitt"/>
    <w:link w:val="Rubrik1"/>
    <w:rPr>
      <w:b/>
      <w:sz w:val="28"/>
    </w:rPr>
  </w:style>
  <w:style w:type="character" w:customStyle="1" w:styleId="Rubrik2Char">
    <w:name w:val="Rubrik 2 Char"/>
    <w:basedOn w:val="Standardstycketeckensnitt"/>
    <w:link w:val="Rubrik2"/>
    <w:rPr>
      <w:b/>
    </w:rPr>
  </w:style>
  <w:style w:type="character" w:customStyle="1" w:styleId="Rubrik3Char">
    <w:name w:val="Rubrik 3 Char"/>
    <w:basedOn w:val="Standardstycketeckensnitt"/>
    <w:link w:val="Rubrik3"/>
    <w:rPr>
      <w:b/>
      <w:i/>
    </w:rPr>
  </w:style>
  <w:style w:type="table" w:styleId="Enkeltabell1">
    <w:name w:val="Table Simple 1"/>
    <w:basedOn w:val="Normaltabell"/>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nt">
    <w:name w:val="Table Grid"/>
    <w:basedOn w:val="Normaltabell"/>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hm.a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1479</Words>
  <Characters>7843</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Mikael Stjärnfelt</cp:lastModifiedBy>
  <cp:revision>9</cp:revision>
  <dcterms:created xsi:type="dcterms:W3CDTF">2021-02-04T11:43:00Z</dcterms:created>
  <dcterms:modified xsi:type="dcterms:W3CDTF">2021-02-17T13:06:00Z</dcterms:modified>
</cp:coreProperties>
</file>